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58" w:rsidRDefault="00B87858" w:rsidP="00B87858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</w:t>
      </w:r>
    </w:p>
    <w:p w:rsidR="00B87858" w:rsidRDefault="00B87858" w:rsidP="00B87858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B87858" w:rsidRPr="00CF7841" w:rsidRDefault="00B87858" w:rsidP="00B87858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F7841">
        <w:rPr>
          <w:rFonts w:ascii="方正小标宋简体" w:eastAsia="方正小标宋简体" w:hAnsi="黑体" w:hint="eastAsia"/>
          <w:sz w:val="44"/>
          <w:szCs w:val="44"/>
        </w:rPr>
        <w:t>2019年命名“职工心灵驿站”单位名单</w:t>
      </w:r>
    </w:p>
    <w:p w:rsidR="00B87858" w:rsidRPr="00CF7841" w:rsidRDefault="00B87858" w:rsidP="00B87858">
      <w:pPr>
        <w:spacing w:line="500" w:lineRule="exact"/>
        <w:jc w:val="center"/>
        <w:rPr>
          <w:rFonts w:ascii="仿宋_GB2312" w:eastAsia="仿宋_GB2312" w:hAnsi="黑体" w:hint="eastAsia"/>
          <w:sz w:val="32"/>
          <w:szCs w:val="32"/>
        </w:rPr>
      </w:pPr>
      <w:r w:rsidRPr="00CF7841">
        <w:rPr>
          <w:rFonts w:ascii="仿宋_GB2312" w:eastAsia="仿宋_GB2312" w:hAnsi="黑体" w:hint="eastAsia"/>
          <w:sz w:val="32"/>
          <w:szCs w:val="32"/>
        </w:rPr>
        <w:t>（排序不分先后）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969"/>
        <w:gridCol w:w="4531"/>
      </w:tblGrid>
      <w:tr w:rsidR="00B87858" w:rsidTr="00B66C7E">
        <w:trPr>
          <w:trHeight w:val="480"/>
        </w:trPr>
        <w:tc>
          <w:tcPr>
            <w:tcW w:w="72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CF78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0"/>
                <w:lang w:bidi="ar"/>
              </w:rPr>
              <w:t>序号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18"/>
              </w:rPr>
            </w:pPr>
            <w:r w:rsidRPr="00CF78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18"/>
                <w:lang w:bidi="ar"/>
              </w:rPr>
              <w:t>所属区/产业工会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2"/>
                <w:szCs w:val="20"/>
              </w:rPr>
            </w:pPr>
            <w:r w:rsidRPr="00CF78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0"/>
                <w:lang w:bidi="ar"/>
              </w:rPr>
              <w:t>评审单位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2"/>
                <w:szCs w:val="20"/>
                <w:lang w:bidi="ar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2"/>
                <w:szCs w:val="18"/>
                <w:lang w:bidi="ar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西城区总工会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2"/>
                <w:szCs w:val="20"/>
                <w:lang w:bidi="ar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首都医科大学附属复兴医院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石景山区总工会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首钢京唐钢铁联合有限责任公司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北京大学附属中学石景山学校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朝阳区总工会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北京市朝阳区第三医院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丰台区总工会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北京汽车博物馆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北京市丰台区监察委员会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北京市丰台区人民法院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市直机关工会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国家税务总局北京市税务局第二稽查局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顺义区总工会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</w:t>
            </w:r>
            <w:proofErr w:type="gramStart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金诚立信</w:t>
            </w:r>
            <w:proofErr w:type="gramEnd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造价咨询有限公司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中北华宇建筑工程公司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北京顺城物流有限公司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北京市顺义区第二中学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房山区总工会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北京市房山区石楼镇社区成人职业学校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北京市房山区拱辰街道楼宇工会服务站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 xml:space="preserve">北京市房山区成人教育中心 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北京市房山区人民检察院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北京市房山区大石窝镇中心幼儿园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政法卫文工会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首都儿科研究所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金融工会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中国银行股份有限公司北京丰台支行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中国农业银行股份有限公司北京海淀支行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中信银行股份有限公司北京分行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金融工会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中国农业银行股份有限公司北京宣武支行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教育工会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北京联合大学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首都经济贸易大学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建筑工会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北京建工集团有限责任公司党校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北京北辰实业股份有限公司北京五洲大酒店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北京市燃气集团有限责任公司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北京住总置地有限公司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交通运输工会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中国南方航空股份有限公司北京分公司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北京市首都公路发展集团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有限公司京开高速公路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管理分公司西红门收费管理所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6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 xml:space="preserve"> 工业（国防）工会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中铁六局集团建筑安装工程有限公司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中铁六局集团丰</w:t>
            </w:r>
            <w:proofErr w:type="gramStart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桥</w:t>
            </w:r>
            <w:proofErr w:type="gramEnd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桥梁有限公司</w:t>
            </w: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br/>
              <w:t>京丰谷分公司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北京首钢股份有限公司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proofErr w:type="gramStart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国网冀北</w:t>
            </w:r>
            <w:proofErr w:type="gramEnd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电力有限公司管理培训中心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北京现代汽车有限公司仁和工厂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 xml:space="preserve"> </w:t>
            </w:r>
            <w:proofErr w:type="gramStart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国网北京市</w:t>
            </w:r>
            <w:proofErr w:type="gramEnd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电力公司丰台供电公司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proofErr w:type="gramStart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国网冀北</w:t>
            </w:r>
            <w:proofErr w:type="gramEnd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电力有限公司电力科学研究院(华北电力科学研究院有限责任公司)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北京同仁</w:t>
            </w:r>
            <w:proofErr w:type="gramStart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堂健康</w:t>
            </w:r>
            <w:proofErr w:type="gramEnd"/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药业股份有限公司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69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北京京西燃气热电有限公司</w:t>
            </w:r>
          </w:p>
        </w:tc>
      </w:tr>
      <w:tr w:rsidR="00B87858" w:rsidTr="00B66C7E">
        <w:trPr>
          <w:trHeight w:val="480"/>
        </w:trPr>
        <w:tc>
          <w:tcPr>
            <w:tcW w:w="72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6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服务工会</w:t>
            </w:r>
          </w:p>
        </w:tc>
        <w:tc>
          <w:tcPr>
            <w:tcW w:w="453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B87858" w:rsidRPr="00CF7841" w:rsidRDefault="00B87858" w:rsidP="00B66C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2"/>
              </w:rPr>
            </w:pPr>
            <w:r w:rsidRPr="00CF7841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中国邮政集团北京市东城区分公司安外邮政支局</w:t>
            </w:r>
          </w:p>
        </w:tc>
      </w:tr>
    </w:tbl>
    <w:p w:rsidR="00B87858" w:rsidRDefault="00B87858" w:rsidP="00B8785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C00F1" w:rsidRPr="00B87858" w:rsidRDefault="005C00F1"/>
    <w:sectPr w:rsidR="005C00F1" w:rsidRPr="00B8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D1" w:rsidRDefault="005639D1" w:rsidP="00B87858">
      <w:r>
        <w:separator/>
      </w:r>
    </w:p>
  </w:endnote>
  <w:endnote w:type="continuationSeparator" w:id="0">
    <w:p w:rsidR="005639D1" w:rsidRDefault="005639D1" w:rsidP="00B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D1" w:rsidRDefault="005639D1" w:rsidP="00B87858">
      <w:r>
        <w:separator/>
      </w:r>
    </w:p>
  </w:footnote>
  <w:footnote w:type="continuationSeparator" w:id="0">
    <w:p w:rsidR="005639D1" w:rsidRDefault="005639D1" w:rsidP="00B8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03"/>
    <w:rsid w:val="005639D1"/>
    <w:rsid w:val="005C00F1"/>
    <w:rsid w:val="00AE7C03"/>
    <w:rsid w:val="00B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2019-12-23T09:57:00Z</dcterms:created>
  <dcterms:modified xsi:type="dcterms:W3CDTF">2019-12-23T09:58:00Z</dcterms:modified>
</cp:coreProperties>
</file>