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C666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bookmarkStart w:id="1" w:name="_GoBack"/>
      <w:bookmarkEnd w:id="1"/>
      <w:r>
        <w:rPr>
          <w:rFonts w:hint="eastAsia" w:ascii="黑体" w:hAnsi="黑体" w:eastAsia="黑体" w:cs="黑体"/>
          <w:sz w:val="32"/>
          <w:szCs w:val="32"/>
          <w:lang w:val="en-US" w:eastAsia="zh-CN"/>
        </w:rPr>
        <w:t>附件</w:t>
      </w:r>
    </w:p>
    <w:p w14:paraId="2FAACC9C">
      <w:pPr>
        <w:pStyle w:val="2"/>
        <w:spacing w:before="0" w:after="0" w:line="560" w:lineRule="exact"/>
        <w:rPr>
          <w:rFonts w:hint="default"/>
          <w:lang w:val="en-US" w:eastAsia="zh-CN"/>
        </w:rPr>
      </w:pPr>
    </w:p>
    <w:p w14:paraId="18A293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lang w:val="en-US" w:eastAsia="zh-CN"/>
        </w:rPr>
      </w:pPr>
      <w:r>
        <w:rPr>
          <w:rFonts w:hint="eastAsia" w:ascii="方正小标宋简体" w:hAnsi="微软雅黑" w:eastAsia="方正小标宋简体"/>
          <w:sz w:val="44"/>
          <w:szCs w:val="36"/>
          <w:shd w:val="clear" w:color="auto" w:fill="FFFFFF"/>
        </w:rPr>
        <w:t>首都工匠学院202</w:t>
      </w:r>
      <w:r>
        <w:rPr>
          <w:rFonts w:hint="eastAsia" w:ascii="方正小标宋简体" w:hAnsi="微软雅黑" w:eastAsia="方正小标宋简体"/>
          <w:sz w:val="44"/>
          <w:szCs w:val="36"/>
          <w:shd w:val="clear" w:color="auto" w:fill="FFFFFF"/>
          <w:lang w:val="en-US" w:eastAsia="zh-CN"/>
        </w:rPr>
        <w:t>6</w:t>
      </w:r>
      <w:r>
        <w:rPr>
          <w:rFonts w:hint="eastAsia" w:ascii="方正小标宋简体" w:hAnsi="微软雅黑" w:eastAsia="方正小标宋简体"/>
          <w:sz w:val="44"/>
          <w:szCs w:val="36"/>
          <w:shd w:val="clear" w:color="auto" w:fill="FFFFFF"/>
        </w:rPr>
        <w:t>年</w:t>
      </w:r>
      <w:r>
        <w:rPr>
          <w:rFonts w:hint="eastAsia" w:ascii="方正小标宋简体" w:hAnsi="微软雅黑" w:eastAsia="方正小标宋简体"/>
          <w:kern w:val="2"/>
          <w:sz w:val="44"/>
          <w:szCs w:val="36"/>
          <w:shd w:val="clear" w:color="auto" w:fill="FFFFFF"/>
          <w:lang w:val="en-US" w:eastAsia="zh-CN" w:bidi="ar-SA"/>
        </w:rPr>
        <w:t>多旋翼无人机技术应用</w:t>
      </w:r>
      <w:r>
        <w:rPr>
          <w:rFonts w:hint="eastAsia" w:ascii="方正小标宋简体" w:hAnsi="微软雅黑" w:eastAsia="方正小标宋简体"/>
          <w:sz w:val="44"/>
          <w:szCs w:val="36"/>
          <w:shd w:val="clear" w:color="auto" w:fill="FFFFFF"/>
          <w:lang w:val="en-US" w:eastAsia="zh-CN"/>
        </w:rPr>
        <w:t>高技能</w:t>
      </w:r>
      <w:r>
        <w:rPr>
          <w:rFonts w:hint="eastAsia" w:ascii="方正小标宋简体" w:hAnsi="微软雅黑" w:eastAsia="方正小标宋简体"/>
          <w:sz w:val="44"/>
          <w:szCs w:val="36"/>
          <w:shd w:val="clear" w:color="auto" w:fill="FFFFFF"/>
        </w:rPr>
        <w:t>人才培训实施方案</w:t>
      </w:r>
    </w:p>
    <w:p w14:paraId="4C0FC0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lang w:eastAsia="zh-CN"/>
        </w:rPr>
      </w:pPr>
    </w:p>
    <w:p w14:paraId="6BA1BAEA">
      <w:pPr>
        <w:pStyle w:val="12"/>
        <w:keepNext w:val="0"/>
        <w:keepLines w:val="0"/>
        <w:pageBreakBefore w:val="0"/>
        <w:kinsoku/>
        <w:overflowPunct/>
        <w:topLinePunct w:val="0"/>
        <w:autoSpaceDE/>
        <w:autoSpaceDN/>
        <w:bidi w:val="0"/>
        <w:adjustRightInd/>
        <w:snapToGrid/>
        <w:spacing w:line="560" w:lineRule="exact"/>
        <w:ind w:firstLine="640"/>
        <w:jc w:val="left"/>
        <w:textAlignment w:val="auto"/>
        <w:rPr>
          <w:rFonts w:hint="eastAsia" w:eastAsiaTheme="minorEastAsia"/>
          <w:sz w:val="30"/>
          <w:szCs w:val="30"/>
          <w:lang w:eastAsia="zh-CN"/>
        </w:rPr>
      </w:pPr>
      <w:r>
        <w:rPr>
          <w:rFonts w:hint="eastAsia" w:ascii="黑体" w:hAnsi="黑体" w:eastAsia="黑体"/>
          <w:sz w:val="32"/>
          <w:szCs w:val="32"/>
        </w:rPr>
        <w:t>一、培</w:t>
      </w:r>
      <w:r>
        <w:rPr>
          <w:rFonts w:hint="eastAsia" w:ascii="黑体" w:hAnsi="黑体" w:eastAsia="黑体"/>
          <w:sz w:val="32"/>
          <w:szCs w:val="32"/>
          <w:lang w:val="en-US" w:eastAsia="zh-CN"/>
        </w:rPr>
        <w:t>训</w:t>
      </w:r>
      <w:r>
        <w:rPr>
          <w:rFonts w:hint="eastAsia" w:ascii="黑体" w:hAnsi="黑体" w:eastAsia="黑体"/>
          <w:sz w:val="32"/>
          <w:szCs w:val="32"/>
        </w:rPr>
        <w:t>目标</w:t>
      </w:r>
      <w:r>
        <w:rPr>
          <w:rFonts w:hint="eastAsia" w:ascii="仿宋_GB2312" w:hAnsi="仿宋_GB2312" w:eastAsia="仿宋_GB2312" w:cs="仿宋_GB2312"/>
          <w:sz w:val="30"/>
          <w:szCs w:val="30"/>
          <w:lang w:val="en-US" w:eastAsia="zh-CN"/>
        </w:rPr>
        <w:t xml:space="preserve"> </w:t>
      </w:r>
    </w:p>
    <w:p w14:paraId="4BE174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依托延庆民用无人驾驶航空试验区低空经济产业优势，面向无人机领域高技能人员开展系统培训，使学员熟练掌握多旋翼无人机复杂场景操控、高端装调检修、故障精准诊断、飞控参数调试、行业场景化解决方案设计能力，精通应急救援、精准农业、智能生态巡检等作业技术。培育兼具创新意识、实操能力与工匠精神的无人机技术应用高技能人才，补齐区域高端无人机人才缺口，服务京津冀低空经济协同发展。</w:t>
      </w:r>
    </w:p>
    <w:p w14:paraId="36CA0784">
      <w:pPr>
        <w:pStyle w:val="12"/>
        <w:keepNext w:val="0"/>
        <w:keepLines w:val="0"/>
        <w:pageBreakBefore w:val="0"/>
        <w:kinsoku/>
        <w:overflowPunct/>
        <w:topLinePunct w:val="0"/>
        <w:autoSpaceDE/>
        <w:autoSpaceDN/>
        <w:bidi w:val="0"/>
        <w:adjustRightInd/>
        <w:snapToGrid/>
        <w:spacing w:line="560" w:lineRule="exact"/>
        <w:ind w:firstLine="640"/>
        <w:jc w:val="left"/>
        <w:textAlignment w:val="auto"/>
        <w:rPr>
          <w:rFonts w:hint="eastAsia" w:ascii="黑体" w:hAnsi="黑体" w:eastAsia="黑体"/>
          <w:sz w:val="32"/>
          <w:szCs w:val="32"/>
          <w:lang w:val="en-US" w:eastAsia="zh-CN"/>
        </w:rPr>
      </w:pPr>
      <w:r>
        <w:rPr>
          <w:rFonts w:hint="eastAsia" w:ascii="黑体" w:hAnsi="黑体" w:eastAsia="黑体"/>
          <w:sz w:val="32"/>
          <w:szCs w:val="32"/>
          <w:lang w:eastAsia="zh-CN"/>
        </w:rPr>
        <w:t>二</w:t>
      </w:r>
      <w:r>
        <w:rPr>
          <w:rFonts w:hint="eastAsia" w:ascii="黑体" w:hAnsi="黑体" w:eastAsia="黑体"/>
          <w:sz w:val="32"/>
          <w:szCs w:val="32"/>
        </w:rPr>
        <w:t>、培</w:t>
      </w:r>
      <w:r>
        <w:rPr>
          <w:rFonts w:hint="eastAsia" w:ascii="黑体" w:hAnsi="黑体" w:eastAsia="黑体"/>
          <w:sz w:val="32"/>
          <w:szCs w:val="32"/>
          <w:lang w:val="en-US" w:eastAsia="zh-CN"/>
        </w:rPr>
        <w:t>训</w:t>
      </w:r>
      <w:r>
        <w:rPr>
          <w:rFonts w:hint="eastAsia" w:ascii="黑体" w:hAnsi="黑体" w:eastAsia="黑体"/>
          <w:sz w:val="32"/>
          <w:szCs w:val="32"/>
        </w:rPr>
        <w:t>时间</w:t>
      </w:r>
      <w:r>
        <w:rPr>
          <w:rFonts w:hint="eastAsia" w:ascii="黑体" w:hAnsi="黑体" w:eastAsia="黑体"/>
          <w:sz w:val="32"/>
          <w:szCs w:val="32"/>
          <w:lang w:val="en-US" w:eastAsia="zh-CN"/>
        </w:rPr>
        <w:t>及培训人数</w:t>
      </w:r>
    </w:p>
    <w:p w14:paraId="1E4159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b w:val="0"/>
          <w:bCs/>
          <w:lang w:val="en-US" w:eastAsia="zh-CN"/>
        </w:rPr>
      </w:pPr>
      <w:r>
        <w:rPr>
          <w:rFonts w:hint="eastAsia" w:ascii="仿宋_GB2312" w:hAnsi="宋体" w:eastAsia="仿宋_GB2312" w:cs="仿宋_GB2312"/>
          <w:kern w:val="0"/>
          <w:sz w:val="32"/>
          <w:szCs w:val="32"/>
          <w:lang w:val="en-US" w:eastAsia="zh-CN" w:bidi="ar"/>
        </w:rPr>
        <w:t>1.培训时间</w:t>
      </w:r>
      <w:r>
        <w:rPr>
          <w:rFonts w:hint="eastAsia" w:ascii="仿宋_GB2312" w:hAnsi="宋体" w:eastAsia="仿宋_GB2312" w:cs="仿宋_GB2312"/>
          <w:color w:val="auto"/>
          <w:kern w:val="0"/>
          <w:sz w:val="32"/>
          <w:szCs w:val="32"/>
          <w:lang w:val="en-US" w:eastAsia="zh-CN" w:bidi="ar"/>
        </w:rPr>
        <w:t>：2026</w:t>
      </w:r>
      <w:r>
        <w:rPr>
          <w:rFonts w:hint="eastAsia" w:ascii="仿宋_GB2312" w:hAnsi="宋体" w:eastAsia="仿宋_GB2312" w:cs="仿宋_GB2312"/>
          <w:color w:val="auto"/>
          <w:kern w:val="0"/>
          <w:sz w:val="32"/>
          <w:szCs w:val="32"/>
          <w:highlight w:val="none"/>
          <w:lang w:val="en-US" w:eastAsia="zh-CN" w:bidi="ar"/>
        </w:rPr>
        <w:t>年9月20日至9月24日，</w:t>
      </w:r>
      <w:r>
        <w:rPr>
          <w:rFonts w:hint="eastAsia" w:ascii="仿宋_GB2312" w:hAnsi="宋体" w:eastAsia="仿宋_GB2312" w:cs="仿宋_GB2312"/>
          <w:color w:val="auto"/>
          <w:kern w:val="0"/>
          <w:sz w:val="32"/>
          <w:szCs w:val="32"/>
          <w:lang w:val="en-US" w:eastAsia="zh-CN" w:bidi="ar"/>
        </w:rPr>
        <w:t>共计40学时。</w:t>
      </w:r>
    </w:p>
    <w:p w14:paraId="6A3D94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2.培训人数：50人。</w:t>
      </w:r>
    </w:p>
    <w:p w14:paraId="06F938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三、培训对象</w:t>
      </w:r>
    </w:p>
    <w:p w14:paraId="0D5952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无人机行业持有无人机驾驶员、装调检修工高级工及以上职业资格证书或者具备中级及以上专业技术资格的一线职工；无人机企业技术骨干、职工创新工作室成员；市级及以上无人机职业技能大赛决赛选手；林场、国家电网、应急消防单位无人机专职运维骨干。</w:t>
      </w:r>
    </w:p>
    <w:p w14:paraId="04BC7A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四、培训内容</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717"/>
        <w:gridCol w:w="4786"/>
        <w:gridCol w:w="1274"/>
        <w:gridCol w:w="1038"/>
      </w:tblGrid>
      <w:tr w14:paraId="048D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81" w:type="pct"/>
            <w:gridSpan w:val="2"/>
            <w:vAlign w:val="center"/>
          </w:tcPr>
          <w:p w14:paraId="35AD4D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kern w:val="0"/>
                <w:sz w:val="24"/>
                <w:szCs w:val="24"/>
                <w:lang w:val="en-US" w:eastAsia="zh-CN" w:bidi="ar"/>
              </w:rPr>
            </w:pPr>
            <w:r>
              <w:rPr>
                <w:rFonts w:hint="eastAsia" w:ascii="黑体" w:hAnsi="黑体" w:eastAsia="黑体" w:cs="黑体"/>
                <w:b w:val="0"/>
                <w:bCs w:val="0"/>
                <w:kern w:val="0"/>
                <w:sz w:val="24"/>
                <w:szCs w:val="24"/>
                <w:lang w:val="en-US" w:eastAsia="zh-CN" w:bidi="ar"/>
              </w:rPr>
              <w:t>培训时间</w:t>
            </w:r>
          </w:p>
        </w:tc>
        <w:tc>
          <w:tcPr>
            <w:tcW w:w="2642" w:type="pct"/>
            <w:vAlign w:val="center"/>
          </w:tcPr>
          <w:p w14:paraId="5346F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kern w:val="0"/>
                <w:sz w:val="24"/>
                <w:szCs w:val="24"/>
                <w:lang w:val="en-US" w:eastAsia="zh-CN" w:bidi="ar"/>
              </w:rPr>
            </w:pPr>
            <w:r>
              <w:rPr>
                <w:rFonts w:hint="eastAsia" w:ascii="黑体" w:hAnsi="黑体" w:eastAsia="黑体" w:cs="黑体"/>
                <w:b w:val="0"/>
                <w:bCs w:val="0"/>
                <w:kern w:val="0"/>
                <w:sz w:val="24"/>
                <w:szCs w:val="24"/>
                <w:lang w:val="en-US" w:eastAsia="zh-CN" w:bidi="ar"/>
              </w:rPr>
              <w:t>课程名称</w:t>
            </w:r>
          </w:p>
        </w:tc>
        <w:tc>
          <w:tcPr>
            <w:tcW w:w="703" w:type="pct"/>
            <w:vAlign w:val="center"/>
          </w:tcPr>
          <w:p w14:paraId="23225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kern w:val="0"/>
                <w:sz w:val="24"/>
                <w:szCs w:val="24"/>
                <w:lang w:val="en-US" w:eastAsia="zh-CN" w:bidi="ar"/>
              </w:rPr>
            </w:pPr>
            <w:r>
              <w:rPr>
                <w:rFonts w:hint="eastAsia" w:ascii="黑体" w:hAnsi="黑体" w:eastAsia="黑体" w:cs="黑体"/>
                <w:b w:val="0"/>
                <w:bCs w:val="0"/>
                <w:kern w:val="0"/>
                <w:sz w:val="24"/>
                <w:szCs w:val="24"/>
                <w:lang w:val="en-US" w:eastAsia="zh-CN" w:bidi="ar"/>
              </w:rPr>
              <w:t>培训方式</w:t>
            </w:r>
          </w:p>
        </w:tc>
        <w:tc>
          <w:tcPr>
            <w:tcW w:w="573" w:type="pct"/>
            <w:vAlign w:val="center"/>
          </w:tcPr>
          <w:p w14:paraId="0748C7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kern w:val="0"/>
                <w:sz w:val="24"/>
                <w:szCs w:val="24"/>
                <w:lang w:val="en-US" w:eastAsia="zh-CN" w:bidi="ar"/>
              </w:rPr>
            </w:pPr>
            <w:r>
              <w:rPr>
                <w:rFonts w:hint="eastAsia" w:ascii="黑体" w:hAnsi="黑体" w:eastAsia="黑体" w:cs="黑体"/>
                <w:b w:val="0"/>
                <w:bCs w:val="0"/>
                <w:kern w:val="0"/>
                <w:sz w:val="24"/>
                <w:szCs w:val="24"/>
                <w:lang w:val="en-US" w:eastAsia="zh-CN" w:bidi="ar"/>
              </w:rPr>
              <w:t>学时</w:t>
            </w:r>
          </w:p>
        </w:tc>
      </w:tr>
      <w:tr w14:paraId="2DD1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85" w:type="pct"/>
            <w:vMerge w:val="restart"/>
            <w:vAlign w:val="center"/>
          </w:tcPr>
          <w:p w14:paraId="352C4A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9月20日</w:t>
            </w:r>
          </w:p>
        </w:tc>
        <w:tc>
          <w:tcPr>
            <w:tcW w:w="395" w:type="pct"/>
            <w:vAlign w:val="center"/>
          </w:tcPr>
          <w:p w14:paraId="1452D5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上午</w:t>
            </w:r>
          </w:p>
        </w:tc>
        <w:tc>
          <w:tcPr>
            <w:tcW w:w="2642" w:type="pct"/>
            <w:vAlign w:val="center"/>
          </w:tcPr>
          <w:p w14:paraId="59324B1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1.开班仪式</w:t>
            </w:r>
          </w:p>
          <w:p w14:paraId="6D8B6E8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2.“三个精神”主题讲座</w:t>
            </w:r>
          </w:p>
        </w:tc>
        <w:tc>
          <w:tcPr>
            <w:tcW w:w="703" w:type="pct"/>
            <w:vAlign w:val="center"/>
          </w:tcPr>
          <w:p w14:paraId="486DA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讲座</w:t>
            </w:r>
          </w:p>
        </w:tc>
        <w:tc>
          <w:tcPr>
            <w:tcW w:w="573" w:type="pct"/>
            <w:vAlign w:val="center"/>
          </w:tcPr>
          <w:p w14:paraId="7E28E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r>
      <w:tr w14:paraId="5F4D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pct"/>
            <w:vMerge w:val="continue"/>
            <w:vAlign w:val="center"/>
          </w:tcPr>
          <w:p w14:paraId="276C69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Align w:val="center"/>
          </w:tcPr>
          <w:p w14:paraId="3FC714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下午</w:t>
            </w:r>
          </w:p>
        </w:tc>
        <w:tc>
          <w:tcPr>
            <w:tcW w:w="2642" w:type="pct"/>
            <w:vAlign w:val="center"/>
          </w:tcPr>
          <w:p w14:paraId="3A8FA5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多旋翼无人机高阶基础与复杂场景操控技术</w:t>
            </w:r>
          </w:p>
        </w:tc>
        <w:tc>
          <w:tcPr>
            <w:tcW w:w="703" w:type="pct"/>
            <w:vAlign w:val="center"/>
          </w:tcPr>
          <w:p w14:paraId="7555EE8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理论实操</w:t>
            </w:r>
          </w:p>
        </w:tc>
        <w:tc>
          <w:tcPr>
            <w:tcW w:w="573" w:type="pct"/>
            <w:vAlign w:val="center"/>
          </w:tcPr>
          <w:p w14:paraId="6C44B4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r>
      <w:tr w14:paraId="0FB5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pct"/>
            <w:vMerge w:val="restart"/>
            <w:vAlign w:val="center"/>
          </w:tcPr>
          <w:p w14:paraId="72CAB8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9月21日</w:t>
            </w:r>
          </w:p>
        </w:tc>
        <w:tc>
          <w:tcPr>
            <w:tcW w:w="395" w:type="pct"/>
            <w:vAlign w:val="center"/>
          </w:tcPr>
          <w:p w14:paraId="575DAF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上午</w:t>
            </w:r>
          </w:p>
        </w:tc>
        <w:tc>
          <w:tcPr>
            <w:tcW w:w="2642" w:type="pct"/>
            <w:vAlign w:val="center"/>
          </w:tcPr>
          <w:p w14:paraId="6D83AE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无人机高端装调检修与故障精准诊断</w:t>
            </w:r>
          </w:p>
        </w:tc>
        <w:tc>
          <w:tcPr>
            <w:tcW w:w="703" w:type="pct"/>
            <w:shd w:val="clear" w:color="auto" w:fill="auto"/>
            <w:vAlign w:val="center"/>
          </w:tcPr>
          <w:p w14:paraId="5DFF50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理论</w:t>
            </w:r>
          </w:p>
        </w:tc>
        <w:tc>
          <w:tcPr>
            <w:tcW w:w="573" w:type="pct"/>
            <w:vAlign w:val="center"/>
          </w:tcPr>
          <w:p w14:paraId="02D7F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r>
      <w:tr w14:paraId="2F5C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continue"/>
            <w:vAlign w:val="center"/>
          </w:tcPr>
          <w:p w14:paraId="4489FB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Align w:val="center"/>
          </w:tcPr>
          <w:p w14:paraId="4E2AE8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下午</w:t>
            </w:r>
          </w:p>
        </w:tc>
        <w:tc>
          <w:tcPr>
            <w:tcW w:w="2642" w:type="pct"/>
            <w:vAlign w:val="center"/>
          </w:tcPr>
          <w:p w14:paraId="174A47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无人机高端装调检修与故障精准诊断</w:t>
            </w:r>
          </w:p>
        </w:tc>
        <w:tc>
          <w:tcPr>
            <w:tcW w:w="703" w:type="pct"/>
            <w:shd w:val="clear" w:color="auto" w:fill="auto"/>
            <w:vAlign w:val="center"/>
          </w:tcPr>
          <w:p w14:paraId="3FA682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实操</w:t>
            </w:r>
          </w:p>
        </w:tc>
        <w:tc>
          <w:tcPr>
            <w:tcW w:w="573" w:type="pct"/>
            <w:vAlign w:val="center"/>
          </w:tcPr>
          <w:p w14:paraId="031C5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r>
      <w:tr w14:paraId="6D75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restart"/>
            <w:vAlign w:val="center"/>
          </w:tcPr>
          <w:p w14:paraId="38E1E5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9月22日</w:t>
            </w:r>
          </w:p>
        </w:tc>
        <w:tc>
          <w:tcPr>
            <w:tcW w:w="395" w:type="pct"/>
            <w:vMerge w:val="restart"/>
            <w:vAlign w:val="center"/>
          </w:tcPr>
          <w:p w14:paraId="7039F71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上午</w:t>
            </w:r>
          </w:p>
        </w:tc>
        <w:tc>
          <w:tcPr>
            <w:tcW w:w="2642" w:type="pct"/>
            <w:vAlign w:val="center"/>
          </w:tcPr>
          <w:p w14:paraId="6252CB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飞控系统核心参数高阶调试</w:t>
            </w:r>
          </w:p>
        </w:tc>
        <w:tc>
          <w:tcPr>
            <w:tcW w:w="703" w:type="pct"/>
            <w:shd w:val="clear" w:color="auto" w:fill="auto"/>
            <w:vAlign w:val="center"/>
          </w:tcPr>
          <w:p w14:paraId="072A9B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理论</w:t>
            </w:r>
          </w:p>
        </w:tc>
        <w:tc>
          <w:tcPr>
            <w:tcW w:w="573" w:type="pct"/>
            <w:vAlign w:val="center"/>
          </w:tcPr>
          <w:p w14:paraId="0FB4A8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r w14:paraId="6DA1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continue"/>
            <w:vAlign w:val="center"/>
          </w:tcPr>
          <w:p w14:paraId="253E0A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Merge w:val="continue"/>
            <w:vAlign w:val="center"/>
          </w:tcPr>
          <w:p w14:paraId="154716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2642" w:type="pct"/>
            <w:shd w:val="clear" w:color="auto" w:fill="auto"/>
            <w:vAlign w:val="center"/>
          </w:tcPr>
          <w:p w14:paraId="5BB9E6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飞控系统核心参数高阶调试技术训练</w:t>
            </w:r>
          </w:p>
        </w:tc>
        <w:tc>
          <w:tcPr>
            <w:tcW w:w="703" w:type="pct"/>
            <w:shd w:val="clear" w:color="auto" w:fill="auto"/>
            <w:vAlign w:val="center"/>
          </w:tcPr>
          <w:p w14:paraId="69C2C0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实操</w:t>
            </w:r>
          </w:p>
        </w:tc>
        <w:tc>
          <w:tcPr>
            <w:tcW w:w="573" w:type="pct"/>
            <w:shd w:val="clear" w:color="auto" w:fill="auto"/>
            <w:vAlign w:val="center"/>
          </w:tcPr>
          <w:p w14:paraId="22E99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r w14:paraId="74C7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continue"/>
            <w:vAlign w:val="center"/>
          </w:tcPr>
          <w:p w14:paraId="25149D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Merge w:val="restart"/>
            <w:vAlign w:val="center"/>
          </w:tcPr>
          <w:p w14:paraId="7934ED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下午</w:t>
            </w:r>
          </w:p>
        </w:tc>
        <w:tc>
          <w:tcPr>
            <w:tcW w:w="2642" w:type="pct"/>
            <w:shd w:val="clear" w:color="auto" w:fill="auto"/>
            <w:vAlign w:val="center"/>
          </w:tcPr>
          <w:p w14:paraId="3EEE79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飞控系统核心参数高阶调试技术训练</w:t>
            </w:r>
          </w:p>
        </w:tc>
        <w:tc>
          <w:tcPr>
            <w:tcW w:w="703" w:type="pct"/>
            <w:shd w:val="clear" w:color="auto" w:fill="auto"/>
            <w:vAlign w:val="center"/>
          </w:tcPr>
          <w:p w14:paraId="0A5C5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实操</w:t>
            </w:r>
          </w:p>
        </w:tc>
        <w:tc>
          <w:tcPr>
            <w:tcW w:w="573" w:type="pct"/>
            <w:shd w:val="clear" w:color="auto" w:fill="auto"/>
            <w:vAlign w:val="center"/>
          </w:tcPr>
          <w:p w14:paraId="7928A6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r w14:paraId="7698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continue"/>
            <w:vAlign w:val="center"/>
          </w:tcPr>
          <w:p w14:paraId="42979F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Merge w:val="continue"/>
            <w:vAlign w:val="center"/>
          </w:tcPr>
          <w:p w14:paraId="73C802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2642" w:type="pct"/>
            <w:vAlign w:val="center"/>
          </w:tcPr>
          <w:p w14:paraId="2B4826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物流、植保场景标准化作业技术</w:t>
            </w:r>
          </w:p>
        </w:tc>
        <w:tc>
          <w:tcPr>
            <w:tcW w:w="703" w:type="pct"/>
            <w:vAlign w:val="center"/>
          </w:tcPr>
          <w:p w14:paraId="366AD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理论</w:t>
            </w:r>
          </w:p>
        </w:tc>
        <w:tc>
          <w:tcPr>
            <w:tcW w:w="573" w:type="pct"/>
            <w:vAlign w:val="center"/>
          </w:tcPr>
          <w:p w14:paraId="0A201E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r w14:paraId="5241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restart"/>
            <w:vAlign w:val="center"/>
          </w:tcPr>
          <w:p w14:paraId="207952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9月23日</w:t>
            </w:r>
          </w:p>
        </w:tc>
        <w:tc>
          <w:tcPr>
            <w:tcW w:w="395" w:type="pct"/>
            <w:vAlign w:val="center"/>
          </w:tcPr>
          <w:p w14:paraId="6608AB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上午</w:t>
            </w:r>
          </w:p>
        </w:tc>
        <w:tc>
          <w:tcPr>
            <w:tcW w:w="2642" w:type="pct"/>
            <w:vAlign w:val="center"/>
          </w:tcPr>
          <w:p w14:paraId="6FCF7A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巡检场景标准化作业技术</w:t>
            </w:r>
          </w:p>
        </w:tc>
        <w:tc>
          <w:tcPr>
            <w:tcW w:w="703" w:type="pct"/>
            <w:shd w:val="clear" w:color="auto" w:fill="auto"/>
            <w:vAlign w:val="center"/>
          </w:tcPr>
          <w:p w14:paraId="05660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理论</w:t>
            </w:r>
          </w:p>
        </w:tc>
        <w:tc>
          <w:tcPr>
            <w:tcW w:w="573" w:type="pct"/>
            <w:vAlign w:val="center"/>
          </w:tcPr>
          <w:p w14:paraId="2B06C7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r>
      <w:tr w14:paraId="25C6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85" w:type="pct"/>
            <w:vMerge w:val="continue"/>
            <w:vAlign w:val="center"/>
          </w:tcPr>
          <w:p w14:paraId="7E927E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Align w:val="center"/>
          </w:tcPr>
          <w:p w14:paraId="656BE1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下午</w:t>
            </w:r>
          </w:p>
        </w:tc>
        <w:tc>
          <w:tcPr>
            <w:tcW w:w="2642" w:type="pct"/>
            <w:vAlign w:val="center"/>
          </w:tcPr>
          <w:p w14:paraId="113D93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物流、植保、巡检</w:t>
            </w:r>
            <w:r>
              <w:rPr>
                <w:rFonts w:hint="eastAsia" w:ascii="仿宋_GB2312" w:hAnsi="仿宋_GB2312" w:eastAsia="仿宋_GB2312" w:cs="仿宋_GB2312"/>
                <w:color w:val="auto"/>
                <w:sz w:val="24"/>
                <w:szCs w:val="24"/>
                <w:lang w:val="en-US" w:eastAsia="zh-CN"/>
              </w:rPr>
              <w:t>场景标准化作业技术训练</w:t>
            </w:r>
          </w:p>
        </w:tc>
        <w:tc>
          <w:tcPr>
            <w:tcW w:w="703" w:type="pct"/>
            <w:shd w:val="clear" w:color="auto" w:fill="auto"/>
            <w:vAlign w:val="center"/>
          </w:tcPr>
          <w:p w14:paraId="7FF97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实操</w:t>
            </w:r>
          </w:p>
        </w:tc>
        <w:tc>
          <w:tcPr>
            <w:tcW w:w="573" w:type="pct"/>
            <w:vAlign w:val="center"/>
          </w:tcPr>
          <w:p w14:paraId="58B2E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r>
      <w:tr w14:paraId="3CDC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pct"/>
            <w:vMerge w:val="restart"/>
            <w:vAlign w:val="center"/>
          </w:tcPr>
          <w:p w14:paraId="07464D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9月24日</w:t>
            </w:r>
          </w:p>
        </w:tc>
        <w:tc>
          <w:tcPr>
            <w:tcW w:w="395" w:type="pct"/>
            <w:vMerge w:val="restart"/>
            <w:vAlign w:val="center"/>
          </w:tcPr>
          <w:p w14:paraId="3C4C8F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上午</w:t>
            </w:r>
          </w:p>
        </w:tc>
        <w:tc>
          <w:tcPr>
            <w:tcW w:w="2642" w:type="pct"/>
            <w:shd w:val="clear" w:color="auto" w:fill="auto"/>
            <w:vAlign w:val="center"/>
          </w:tcPr>
          <w:p w14:paraId="22A678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行业场景化解决方案设计</w:t>
            </w:r>
          </w:p>
        </w:tc>
        <w:tc>
          <w:tcPr>
            <w:tcW w:w="703" w:type="pct"/>
            <w:shd w:val="clear" w:color="auto" w:fill="auto"/>
            <w:vAlign w:val="center"/>
          </w:tcPr>
          <w:p w14:paraId="40DD6B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理论</w:t>
            </w:r>
          </w:p>
        </w:tc>
        <w:tc>
          <w:tcPr>
            <w:tcW w:w="573" w:type="pct"/>
            <w:shd w:val="clear" w:color="auto" w:fill="auto"/>
            <w:vAlign w:val="center"/>
          </w:tcPr>
          <w:p w14:paraId="728767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r>
      <w:tr w14:paraId="06DA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pct"/>
            <w:vMerge w:val="continue"/>
            <w:vAlign w:val="center"/>
          </w:tcPr>
          <w:p w14:paraId="4EEF4D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Merge w:val="continue"/>
            <w:vAlign w:val="center"/>
          </w:tcPr>
          <w:p w14:paraId="0D8055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2642" w:type="pct"/>
            <w:shd w:val="clear" w:color="auto" w:fill="auto"/>
            <w:vAlign w:val="center"/>
          </w:tcPr>
          <w:p w14:paraId="4FD2C8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行业场景化解决方案设计 </w:t>
            </w:r>
          </w:p>
        </w:tc>
        <w:tc>
          <w:tcPr>
            <w:tcW w:w="703" w:type="pct"/>
            <w:shd w:val="clear" w:color="auto" w:fill="auto"/>
            <w:vAlign w:val="center"/>
          </w:tcPr>
          <w:p w14:paraId="642178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实操 </w:t>
            </w:r>
          </w:p>
        </w:tc>
        <w:tc>
          <w:tcPr>
            <w:tcW w:w="573" w:type="pct"/>
            <w:shd w:val="clear" w:color="auto" w:fill="auto"/>
            <w:vAlign w:val="center"/>
          </w:tcPr>
          <w:p w14:paraId="623DC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r>
      <w:tr w14:paraId="44C1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pct"/>
            <w:vMerge w:val="continue"/>
            <w:vAlign w:val="center"/>
          </w:tcPr>
          <w:p w14:paraId="5167BF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Merge w:val="restart"/>
            <w:vAlign w:val="center"/>
          </w:tcPr>
          <w:p w14:paraId="743E71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下午</w:t>
            </w:r>
          </w:p>
        </w:tc>
        <w:tc>
          <w:tcPr>
            <w:tcW w:w="2642" w:type="pct"/>
            <w:vAlign w:val="center"/>
          </w:tcPr>
          <w:p w14:paraId="4A740C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bookmarkStart w:id="0" w:name="heading_20"/>
            <w:r>
              <w:rPr>
                <w:rFonts w:hint="eastAsia" w:ascii="仿宋_GB2312" w:hAnsi="仿宋_GB2312" w:eastAsia="仿宋_GB2312" w:cs="仿宋_GB2312"/>
                <w:color w:val="auto"/>
                <w:sz w:val="24"/>
                <w:szCs w:val="24"/>
                <w:lang w:val="en-US" w:eastAsia="zh-CN"/>
              </w:rPr>
              <w:t>行业场景化解决方案设计</w:t>
            </w:r>
            <w:bookmarkEnd w:id="0"/>
            <w:r>
              <w:rPr>
                <w:rFonts w:hint="eastAsia" w:ascii="仿宋_GB2312" w:hAnsi="仿宋_GB2312" w:eastAsia="仿宋_GB2312" w:cs="仿宋_GB2312"/>
                <w:color w:val="auto"/>
                <w:sz w:val="24"/>
                <w:szCs w:val="24"/>
                <w:lang w:val="en-US" w:eastAsia="zh-CN"/>
              </w:rPr>
              <w:t xml:space="preserve"> </w:t>
            </w:r>
          </w:p>
        </w:tc>
        <w:tc>
          <w:tcPr>
            <w:tcW w:w="703" w:type="pct"/>
            <w:vAlign w:val="center"/>
          </w:tcPr>
          <w:p w14:paraId="3BD2A8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实操</w:t>
            </w:r>
          </w:p>
        </w:tc>
        <w:tc>
          <w:tcPr>
            <w:tcW w:w="573" w:type="pct"/>
            <w:vAlign w:val="center"/>
          </w:tcPr>
          <w:p w14:paraId="742F93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r w14:paraId="28A2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pct"/>
            <w:vMerge w:val="continue"/>
            <w:vAlign w:val="center"/>
          </w:tcPr>
          <w:p w14:paraId="5D537D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395" w:type="pct"/>
            <w:vMerge w:val="continue"/>
            <w:vAlign w:val="center"/>
          </w:tcPr>
          <w:p w14:paraId="01212A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tc>
        <w:tc>
          <w:tcPr>
            <w:tcW w:w="2642" w:type="pct"/>
            <w:vAlign w:val="center"/>
          </w:tcPr>
          <w:p w14:paraId="2DCCC0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综合实训与结业考核</w:t>
            </w:r>
          </w:p>
        </w:tc>
        <w:tc>
          <w:tcPr>
            <w:tcW w:w="703" w:type="pct"/>
            <w:vAlign w:val="center"/>
          </w:tcPr>
          <w:p w14:paraId="60F863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考核</w:t>
            </w:r>
          </w:p>
        </w:tc>
        <w:tc>
          <w:tcPr>
            <w:tcW w:w="573" w:type="pct"/>
            <w:vAlign w:val="center"/>
          </w:tcPr>
          <w:p w14:paraId="344788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bl>
    <w:p w14:paraId="1A2198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lang w:val="en-US" w:eastAsia="zh-CN"/>
        </w:rPr>
      </w:pPr>
    </w:p>
    <w:p w14:paraId="10551F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五、培训地点</w:t>
      </w:r>
    </w:p>
    <w:p w14:paraId="558462F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北京延庆区职业学院（北京市延庆区第一职业学校）（北京市延庆区植莲街2号）。</w:t>
      </w:r>
    </w:p>
    <w:p w14:paraId="7DF93D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六、主要授课教师</w:t>
      </w:r>
    </w:p>
    <w:p w14:paraId="704E42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1.宋建堂，北京高赛教育科技有限公司院长，高级讲师、高级工程师，出版发行21本无人机相关教材，参与开发人社部、“1+X”职业技能等级标准，工信部行业职业标准各1部。</w:t>
      </w:r>
    </w:p>
    <w:p w14:paraId="277E5D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2.果辉，</w:t>
      </w:r>
      <w:r>
        <w:rPr>
          <w:rFonts w:hint="eastAsia" w:ascii="仿宋_GB2312" w:hAnsi="仿宋_GB2312" w:eastAsia="仿宋_GB2312" w:cs="仿宋_GB2312"/>
          <w:spacing w:val="0"/>
          <w:kern w:val="2"/>
          <w:sz w:val="32"/>
          <w:szCs w:val="32"/>
          <w:highlight w:val="none"/>
          <w:lang w:val="en-US" w:eastAsia="zh-CN" w:bidi="ar-SA"/>
        </w:rPr>
        <w:t>北京康鹤科技有限责任公司产品总监，高级工程师，企业培训师，曾</w:t>
      </w:r>
      <w:r>
        <w:rPr>
          <w:rFonts w:hint="eastAsia" w:ascii="仿宋_GB2312" w:hAnsi="仿宋_GB2312" w:eastAsia="仿宋_GB2312" w:cs="仿宋_GB2312"/>
          <w:spacing w:val="0"/>
          <w:kern w:val="2"/>
          <w:sz w:val="32"/>
          <w:szCs w:val="32"/>
          <w:lang w:val="en-US" w:eastAsia="zh-CN" w:bidi="ar-SA"/>
        </w:rPr>
        <w:t>主持无人机装调检修工国家题库开发。</w:t>
      </w:r>
    </w:p>
    <w:p w14:paraId="38ABA4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3.王乐，北京新媒体技师学院教研组长、副教授，曾获北京市技术能手等荣誉称号，获得北京市第六届职业技能大赛无人机装调检修项目职工组银牌。</w:t>
      </w:r>
    </w:p>
    <w:p w14:paraId="259E99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spacing w:val="0"/>
          <w:kern w:val="2"/>
          <w:sz w:val="32"/>
          <w:szCs w:val="32"/>
          <w:highlight w:val="none"/>
          <w:lang w:val="en-US" w:eastAsia="zh-CN" w:bidi="ar-SA"/>
        </w:rPr>
        <w:t>4.杨龙，北京康鹤科技有限责任公司生产部经理，无人机装调检修工技师。</w:t>
      </w:r>
    </w:p>
    <w:p w14:paraId="1B9E83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spacing w:val="0"/>
          <w:kern w:val="2"/>
          <w:sz w:val="32"/>
          <w:szCs w:val="32"/>
          <w:highlight w:val="none"/>
          <w:lang w:val="en-US" w:eastAsia="zh-CN" w:bidi="ar-SA"/>
        </w:rPr>
        <w:t>5.杨云飞，北京康鹤科技有限责任公司项目服务部总监，无人机装调检修工技师。</w:t>
      </w:r>
    </w:p>
    <w:p w14:paraId="79D747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spacing w:val="0"/>
          <w:kern w:val="2"/>
          <w:sz w:val="32"/>
          <w:szCs w:val="32"/>
          <w:highlight w:val="none"/>
          <w:lang w:val="en-US" w:eastAsia="zh-CN" w:bidi="ar-SA"/>
        </w:rPr>
        <w:t>6.温东，北京康鹤科技有限责任公司技术保障部总监，无人机装调检修工技师。</w:t>
      </w:r>
    </w:p>
    <w:p w14:paraId="0D4459D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w:t>
      </w:r>
      <w:r>
        <w:rPr>
          <w:rFonts w:hint="eastAsia" w:ascii="黑体" w:hAnsi="黑体" w:eastAsia="黑体"/>
          <w:sz w:val="32"/>
          <w:szCs w:val="32"/>
          <w:highlight w:val="none"/>
          <w:lang w:eastAsia="zh-CN"/>
        </w:rPr>
        <w:t>考核评价</w:t>
      </w:r>
    </w:p>
    <w:p w14:paraId="0580614F">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lang w:val="en-US" w:eastAsia="zh-CN" w:bidi="ar-SA"/>
        </w:rPr>
        <w:t>采用“过程考核30%+成果考核50%+综合评价20%”综合评价，满分100分，总分80分及以上评定为合格。</w:t>
      </w:r>
    </w:p>
    <w:p w14:paraId="485D781D">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lang w:val="en-US" w:eastAsia="zh-CN" w:bidi="ar-SA"/>
        </w:rPr>
        <w:t>1.过程考核（满分30分）：出勤率不低于80%，否则取消考核资格，单次缺勤扣5分。</w:t>
      </w:r>
    </w:p>
    <w:p w14:paraId="7AA8E139">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lang w:val="en-US" w:eastAsia="zh-CN" w:bidi="ar-SA"/>
        </w:rPr>
        <w:t>2.成果考核（满分50分）：学员需提交一份复杂行业场景无人机应用解决方案和实训作业视频，由专家师资团队从创新性、实用性、产业适配度打分。</w:t>
      </w:r>
    </w:p>
    <w:p w14:paraId="4DE55D0D">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lang w:val="en-US" w:eastAsia="zh-CN" w:bidi="ar-SA"/>
        </w:rPr>
        <w:t>3.综合评价（满分20分）：授课专家、企业导师、校内教师结合学员实操表现、研讨交流、团队协作综合打分。</w:t>
      </w:r>
    </w:p>
    <w:p w14:paraId="738E1EEF">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eastAsia="zh-CN"/>
        </w:rPr>
        <w:t>综合评价</w:t>
      </w:r>
      <w:r>
        <w:rPr>
          <w:rFonts w:hint="eastAsia" w:ascii="仿宋_GB2312" w:hAnsi="仿宋_GB2312" w:eastAsia="仿宋_GB2312" w:cs="仿宋_GB2312"/>
          <w:spacing w:val="0"/>
          <w:kern w:val="0"/>
          <w:sz w:val="32"/>
          <w:szCs w:val="32"/>
        </w:rPr>
        <w:t>合格者，</w:t>
      </w:r>
      <w:r>
        <w:rPr>
          <w:rFonts w:hint="eastAsia" w:ascii="仿宋_GB2312" w:hAnsi="仿宋_GB2312" w:eastAsia="仿宋_GB2312" w:cs="仿宋_GB2312"/>
          <w:spacing w:val="0"/>
          <w:kern w:val="0"/>
          <w:sz w:val="32"/>
          <w:szCs w:val="32"/>
          <w:highlight w:val="none"/>
          <w:lang w:val="en-US" w:eastAsia="zh-CN" w:bidi="ar-SA"/>
        </w:rPr>
        <w:t>将获得培训</w:t>
      </w:r>
      <w:r>
        <w:rPr>
          <w:rFonts w:hint="eastAsia" w:ascii="仿宋_GB2312" w:hAnsi="仿宋_GB2312" w:eastAsia="仿宋_GB2312" w:cs="仿宋_GB2312"/>
          <w:spacing w:val="0"/>
          <w:kern w:val="0"/>
          <w:sz w:val="32"/>
          <w:szCs w:val="32"/>
          <w:highlight w:val="none"/>
          <w:lang w:val="en-US" w:eastAsia="zh-CN"/>
        </w:rPr>
        <w:t>结业证书</w:t>
      </w:r>
      <w:r>
        <w:rPr>
          <w:rFonts w:hint="eastAsia" w:ascii="仿宋_GB2312" w:hAnsi="宋体" w:eastAsia="仿宋_GB2312" w:cs="仿宋_GB2312"/>
          <w:spacing w:val="0"/>
          <w:kern w:val="0"/>
          <w:sz w:val="32"/>
          <w:szCs w:val="32"/>
          <w:highlight w:val="none"/>
          <w:lang w:val="en-US" w:eastAsia="zh-CN" w:bidi="ar"/>
        </w:rPr>
        <w:t>，</w:t>
      </w:r>
      <w:r>
        <w:rPr>
          <w:rFonts w:hint="eastAsia" w:ascii="仿宋_GB2312" w:hAnsi="仿宋_GB2312" w:eastAsia="仿宋_GB2312" w:cs="仿宋_GB2312"/>
          <w:spacing w:val="0"/>
          <w:kern w:val="0"/>
          <w:sz w:val="32"/>
          <w:szCs w:val="32"/>
          <w:highlight w:val="none"/>
          <w:lang w:val="en-US" w:eastAsia="zh-CN"/>
        </w:rPr>
        <w:t>并纳入北京市总工会技能人才库，未来将优先参加首都工匠学院举办的相关技术技能提升培训活动</w:t>
      </w:r>
      <w:r>
        <w:rPr>
          <w:rFonts w:hint="eastAsia" w:ascii="仿宋_GB2312" w:hAnsi="仿宋_GB2312" w:eastAsia="仿宋_GB2312" w:cs="仿宋_GB2312"/>
          <w:spacing w:val="0"/>
          <w:kern w:val="0"/>
          <w:sz w:val="32"/>
          <w:szCs w:val="32"/>
          <w:highlight w:val="none"/>
        </w:rPr>
        <w:t>。</w:t>
      </w:r>
    </w:p>
    <w:p w14:paraId="5F8934F7">
      <w:pPr>
        <w:pStyle w:val="12"/>
        <w:keepNext w:val="0"/>
        <w:keepLines w:val="0"/>
        <w:pageBreakBefore w:val="0"/>
        <w:kinsoku/>
        <w:overflowPunct/>
        <w:topLinePunct w:val="0"/>
        <w:autoSpaceDE/>
        <w:autoSpaceDN/>
        <w:bidi w:val="0"/>
        <w:adjustRightInd/>
        <w:snapToGrid/>
        <w:spacing w:line="560" w:lineRule="exact"/>
        <w:ind w:firstLine="640"/>
        <w:jc w:val="left"/>
        <w:textAlignment w:val="auto"/>
        <w:rPr>
          <w:rFonts w:hint="eastAsia"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、注意事项</w:t>
      </w:r>
    </w:p>
    <w:p w14:paraId="0C7D3DC4">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1.各单位推荐1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名符合条件人员参加</w:t>
      </w:r>
      <w:r>
        <w:rPr>
          <w:rFonts w:hint="eastAsia" w:ascii="仿宋_GB2312" w:hAnsi="仿宋_GB2312" w:eastAsia="仿宋_GB2312" w:cs="仿宋_GB2312"/>
          <w:sz w:val="32"/>
          <w:szCs w:val="32"/>
          <w:lang w:val="en-US" w:eastAsia="zh-CN"/>
        </w:rPr>
        <w:t>培训</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并于202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日前</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val="en-US" w:eastAsia="zh-CN"/>
        </w:rPr>
        <w:t>通过登录“技能人才培养网上服务平台”</w:t>
      </w:r>
      <w:r>
        <w:rPr>
          <w:rFonts w:hint="eastAsia" w:ascii="仿宋_GB2312" w:hAnsi="仿宋_GB2312" w:eastAsia="仿宋_GB2312" w:cs="仿宋_GB2312"/>
          <w:sz w:val="32"/>
          <w:szCs w:val="32"/>
        </w:rPr>
        <w:t>（https://www.sdzgeservice.cn/talentDevelopment）</w:t>
      </w:r>
      <w:r>
        <w:rPr>
          <w:rFonts w:hint="eastAsia" w:ascii="仿宋_GB2312" w:hAnsi="仿宋_GB2312" w:eastAsia="仿宋_GB2312" w:cs="仿宋_GB2312"/>
          <w:sz w:val="32"/>
          <w:szCs w:val="32"/>
          <w:lang w:val="en-US" w:eastAsia="zh-CN"/>
        </w:rPr>
        <w:t>，按照系统提示，完成线上报名，额满为止。</w:t>
      </w:r>
    </w:p>
    <w:p w14:paraId="0C22F08F">
      <w:pPr>
        <w:pStyle w:val="12"/>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2.报名材料纸质版（需加盖本级工会公章</w:t>
      </w:r>
      <w:r>
        <w:rPr>
          <w:rFonts w:hint="eastAsia" w:ascii="仿宋_GB2312" w:hAnsi="仿宋_GB2312" w:eastAsia="仿宋_GB2312" w:cs="仿宋_GB2312"/>
          <w:sz w:val="32"/>
          <w:szCs w:val="32"/>
          <w:lang w:val="en-US" w:eastAsia="zh-CN"/>
        </w:rPr>
        <w:t>或单位公章</w:t>
      </w:r>
      <w:r>
        <w:rPr>
          <w:rFonts w:hint="eastAsia" w:ascii="仿宋_GB2312" w:hAnsi="仿宋_GB2312" w:eastAsia="仿宋_GB2312" w:cs="仿宋_GB2312"/>
          <w:sz w:val="32"/>
          <w:szCs w:val="32"/>
        </w:rPr>
        <w:t>）请于报到当天提交至培训工作组，材料主要包括：学员报名表（由系统导出）、参训学员身份证复印件（正反面）、</w:t>
      </w:r>
      <w:r>
        <w:rPr>
          <w:rFonts w:hint="eastAsia" w:ascii="仿宋_GB2312" w:hAnsi="仿宋_GB2312" w:eastAsia="仿宋_GB2312" w:cs="仿宋_GB2312"/>
          <w:sz w:val="32"/>
          <w:szCs w:val="32"/>
          <w:highlight w:val="none"/>
          <w:lang w:val="en-US" w:eastAsia="zh-CN"/>
        </w:rPr>
        <w:t>技能人才评价证书或者相关专业学历证书</w:t>
      </w:r>
      <w:r>
        <w:rPr>
          <w:rFonts w:hint="eastAsia" w:ascii="仿宋_GB2312" w:hAnsi="仿宋_GB2312" w:eastAsia="仿宋_GB2312" w:cs="仿宋_GB2312"/>
          <w:sz w:val="32"/>
          <w:szCs w:val="32"/>
          <w:highlight w:val="none"/>
        </w:rPr>
        <w:t>复印件</w:t>
      </w:r>
      <w:r>
        <w:rPr>
          <w:rFonts w:hint="eastAsia" w:ascii="仿宋_GB2312" w:hAnsi="仿宋_GB2312" w:eastAsia="仿宋_GB2312" w:cs="仿宋_GB2312"/>
          <w:sz w:val="32"/>
          <w:szCs w:val="32"/>
        </w:rPr>
        <w:t>等。</w:t>
      </w:r>
    </w:p>
    <w:p w14:paraId="09D14C37">
      <w:pPr>
        <w:keepNext w:val="0"/>
        <w:keepLines w:val="0"/>
        <w:pageBreakBefore w:val="0"/>
        <w:widowControl/>
        <w:suppressLineNumbers w:val="0"/>
        <w:kinsoku/>
        <w:wordWrap/>
        <w:topLinePunct w:val="0"/>
        <w:autoSpaceDE/>
        <w:autoSpaceDN/>
        <w:bidi w:val="0"/>
        <w:adjustRightInd/>
        <w:snapToGrid/>
        <w:spacing w:line="560" w:lineRule="exact"/>
        <w:ind w:firstLine="640" w:firstLineChars="200"/>
        <w:jc w:val="left"/>
        <w:rPr>
          <w:rFonts w:hint="default" w:ascii="仿宋_GB2312" w:hAnsi="黑体" w:eastAsia="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color w:val="auto"/>
          <w:sz w:val="32"/>
          <w:szCs w:val="32"/>
        </w:rPr>
        <w:t>本次培训不收取相关费用，集中培训期间提供午餐</w:t>
      </w:r>
      <w:r>
        <w:rPr>
          <w:rFonts w:hint="eastAsia" w:ascii="仿宋_GB2312" w:hAnsi="仿宋_GB2312" w:eastAsia="仿宋_GB2312" w:cs="仿宋_GB2312"/>
          <w:color w:val="auto"/>
          <w:sz w:val="32"/>
          <w:szCs w:val="32"/>
          <w:lang w:eastAsia="zh-CN"/>
        </w:rPr>
        <w:t>，</w:t>
      </w:r>
      <w:r>
        <w:rPr>
          <w:rFonts w:hint="eastAsia" w:ascii="仿宋_GB2312" w:hAnsi="黑体" w:eastAsia="仿宋_GB2312"/>
          <w:sz w:val="32"/>
          <w:szCs w:val="32"/>
          <w:lang w:val="en-US" w:eastAsia="zh-CN"/>
        </w:rPr>
        <w:t>其他食宿自理。</w:t>
      </w:r>
    </w:p>
    <w:p w14:paraId="5FD02ED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4.学员报到时间：2026年9月20日上午8:30。</w:t>
      </w:r>
    </w:p>
    <w:p w14:paraId="3F4EB8CB">
      <w:pPr>
        <w:pStyle w:val="12"/>
        <w:keepNext w:val="0"/>
        <w:keepLines w:val="0"/>
        <w:pageBreakBefore w:val="0"/>
        <w:widowControl w:val="0"/>
        <w:kinsoku/>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b w:val="0"/>
          <w:bCs w:val="0"/>
          <w:sz w:val="32"/>
          <w:szCs w:val="32"/>
          <w:highlight w:val="none"/>
          <w:lang w:val="en-US" w:eastAsia="zh-CN"/>
        </w:rPr>
        <w:t>九、</w:t>
      </w:r>
      <w:r>
        <w:rPr>
          <w:rFonts w:hint="eastAsia" w:ascii="黑体" w:hAnsi="黑体" w:eastAsia="黑体" w:cs="黑体"/>
          <w:sz w:val="32"/>
          <w:szCs w:val="32"/>
          <w:highlight w:val="none"/>
        </w:rPr>
        <w:t>联系人</w:t>
      </w:r>
    </w:p>
    <w:p w14:paraId="45E9F7DB">
      <w:pPr>
        <w:keepNext w:val="0"/>
        <w:keepLines w:val="0"/>
        <w:pageBreakBefore w:val="0"/>
        <w:widowControl/>
        <w:suppressLineNumbers w:val="0"/>
        <w:kinsoku/>
        <w:wordWrap/>
        <w:topLinePunct w:val="0"/>
        <w:autoSpaceDE/>
        <w:autoSpaceDN/>
        <w:bidi w:val="0"/>
        <w:adjustRightInd/>
        <w:snapToGrid/>
        <w:spacing w:line="560" w:lineRule="exact"/>
        <w:ind w:firstLine="640" w:firstLineChars="200"/>
        <w:jc w:val="left"/>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bidi="ar"/>
        </w:rPr>
        <w:t>首都工匠学院</w:t>
      </w:r>
      <w:r>
        <w:rPr>
          <w:rFonts w:hint="eastAsia" w:ascii="仿宋_GB2312" w:hAnsi="宋体" w:eastAsia="仿宋_GB2312" w:cs="仿宋_GB2312"/>
          <w:kern w:val="0"/>
          <w:sz w:val="32"/>
          <w:szCs w:val="32"/>
          <w:lang w:eastAsia="zh-CN" w:bidi="ar"/>
        </w:rPr>
        <w:t>（</w:t>
      </w:r>
      <w:r>
        <w:rPr>
          <w:rFonts w:hint="eastAsia" w:ascii="仿宋_GB2312" w:hAnsi="宋体" w:eastAsia="仿宋_GB2312" w:cs="仿宋_GB2312"/>
          <w:kern w:val="0"/>
          <w:sz w:val="32"/>
          <w:szCs w:val="32"/>
          <w:lang w:val="en-US" w:eastAsia="zh-CN" w:bidi="ar"/>
        </w:rPr>
        <w:t>北京市延庆区第一职业学校）：</w:t>
      </w:r>
    </w:p>
    <w:p w14:paraId="32C308CA">
      <w:pPr>
        <w:keepNext w:val="0"/>
        <w:keepLines w:val="0"/>
        <w:pageBreakBefore w:val="0"/>
        <w:widowControl/>
        <w:suppressLineNumbers w:val="0"/>
        <w:kinsoku/>
        <w:wordWrap/>
        <w:topLinePunct w:val="0"/>
        <w:autoSpaceDE/>
        <w:autoSpaceDN/>
        <w:bidi w:val="0"/>
        <w:adjustRightInd/>
        <w:snapToGrid/>
        <w:spacing w:line="560" w:lineRule="exact"/>
        <w:ind w:firstLine="596" w:firstLineChars="200"/>
        <w:jc w:val="left"/>
        <w:rPr>
          <w:rFonts w:hint="default" w:ascii="仿宋_GB2312" w:eastAsia="仿宋_GB2312"/>
          <w:sz w:val="32"/>
          <w:szCs w:val="32"/>
          <w:highlight w:val="none"/>
          <w:lang w:val="en-US" w:eastAsia="zh-CN"/>
        </w:rPr>
      </w:pPr>
      <w:r>
        <w:rPr>
          <w:rFonts w:hint="eastAsia" w:ascii="仿宋_GB2312" w:hAnsi="仿宋_GB2312" w:eastAsia="仿宋_GB2312" w:cs="仿宋_GB2312"/>
          <w:color w:val="auto"/>
          <w:spacing w:val="-11"/>
          <w:sz w:val="32"/>
          <w:szCs w:val="32"/>
          <w:lang w:val="en-US" w:eastAsia="zh-CN"/>
        </w:rPr>
        <w:t>翟主任13521992506；丁主任13718363575；吴主任</w:t>
      </w:r>
      <w:r>
        <w:rPr>
          <w:rFonts w:hint="eastAsia" w:ascii="仿宋_GB2312" w:hAnsi="仿宋_GB2312" w:eastAsia="仿宋_GB2312" w:cs="仿宋_GB2312"/>
          <w:color w:val="auto"/>
          <w:spacing w:val="-11"/>
          <w:sz w:val="32"/>
          <w:szCs w:val="32"/>
        </w:rPr>
        <w:t>137167</w:t>
      </w:r>
      <w:r>
        <w:rPr>
          <w:rFonts w:hint="eastAsia" w:ascii="仿宋_GB2312" w:hAnsi="仿宋_GB2312" w:eastAsia="仿宋_GB2312" w:cs="仿宋_GB2312"/>
          <w:color w:val="auto"/>
          <w:spacing w:val="-11"/>
          <w:sz w:val="32"/>
          <w:szCs w:val="32"/>
          <w:lang w:val="en-US" w:eastAsia="zh-CN"/>
        </w:rPr>
        <w:t>30158。</w:t>
      </w:r>
    </w:p>
    <w:sectPr>
      <w:footerReference r:id="rId3" w:type="default"/>
      <w:pgSz w:w="11906" w:h="16838"/>
      <w:pgMar w:top="2098" w:right="1474" w:bottom="1984" w:left="1587" w:header="884" w:footer="1276"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F8A63D-D0A0-417D-AE2A-244B182F83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5DC7374F-7D90-4C2E-9897-4CE5F6EBBF14}"/>
  </w:font>
  <w:font w:name="仿宋_GB2312">
    <w:panose1 w:val="02010609030101010101"/>
    <w:charset w:val="86"/>
    <w:family w:val="modern"/>
    <w:pitch w:val="default"/>
    <w:sig w:usb0="00000001" w:usb1="080E0000" w:usb2="00000000" w:usb3="00000000" w:csb0="00040000" w:csb1="00000000"/>
    <w:embedRegular r:id="rId3" w:fontKey="{B7C421F7-2730-4F94-9A03-A30327E9F7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506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3107C">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C3107C">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YjQxNDE1MDk0NzA5Yzg2NjU2YzJmYjNkMDQ1MTIifQ=="/>
  </w:docVars>
  <w:rsids>
    <w:rsidRoot w:val="00000000"/>
    <w:rsid w:val="00133528"/>
    <w:rsid w:val="00500138"/>
    <w:rsid w:val="0149295E"/>
    <w:rsid w:val="0179697A"/>
    <w:rsid w:val="01A25EDC"/>
    <w:rsid w:val="01BF7B19"/>
    <w:rsid w:val="02331706"/>
    <w:rsid w:val="030D0562"/>
    <w:rsid w:val="031A401B"/>
    <w:rsid w:val="0345774A"/>
    <w:rsid w:val="0450487C"/>
    <w:rsid w:val="048E56D2"/>
    <w:rsid w:val="04A647CA"/>
    <w:rsid w:val="04BC2E2B"/>
    <w:rsid w:val="04D860EE"/>
    <w:rsid w:val="05BD4D0C"/>
    <w:rsid w:val="05D11B15"/>
    <w:rsid w:val="070E33B9"/>
    <w:rsid w:val="07326CB9"/>
    <w:rsid w:val="073C31C4"/>
    <w:rsid w:val="083640B7"/>
    <w:rsid w:val="086F1377"/>
    <w:rsid w:val="08D538D0"/>
    <w:rsid w:val="08FB7F67"/>
    <w:rsid w:val="099322C7"/>
    <w:rsid w:val="0A6655E3"/>
    <w:rsid w:val="0A7E1D45"/>
    <w:rsid w:val="0AB17A25"/>
    <w:rsid w:val="0AD92328"/>
    <w:rsid w:val="0B0425E5"/>
    <w:rsid w:val="0B2A7467"/>
    <w:rsid w:val="0B464611"/>
    <w:rsid w:val="0C083FBC"/>
    <w:rsid w:val="0C3338C9"/>
    <w:rsid w:val="0D5C3328"/>
    <w:rsid w:val="0DC30C00"/>
    <w:rsid w:val="0E732CE7"/>
    <w:rsid w:val="0FA2011E"/>
    <w:rsid w:val="10C80A0A"/>
    <w:rsid w:val="11C56BB4"/>
    <w:rsid w:val="140C2170"/>
    <w:rsid w:val="145F70B9"/>
    <w:rsid w:val="15F425FD"/>
    <w:rsid w:val="1673362B"/>
    <w:rsid w:val="1687731F"/>
    <w:rsid w:val="169F551D"/>
    <w:rsid w:val="16C136E5"/>
    <w:rsid w:val="17DE3E23"/>
    <w:rsid w:val="18052221"/>
    <w:rsid w:val="18512847"/>
    <w:rsid w:val="19FB0CBC"/>
    <w:rsid w:val="1B306902"/>
    <w:rsid w:val="1BE30EFF"/>
    <w:rsid w:val="1CC25AC1"/>
    <w:rsid w:val="1CC63804"/>
    <w:rsid w:val="1CF54D7C"/>
    <w:rsid w:val="1E560BB7"/>
    <w:rsid w:val="1E7E1EBC"/>
    <w:rsid w:val="1E8243CB"/>
    <w:rsid w:val="1EFB38DF"/>
    <w:rsid w:val="20F621DE"/>
    <w:rsid w:val="224B0307"/>
    <w:rsid w:val="230A1F70"/>
    <w:rsid w:val="233174FD"/>
    <w:rsid w:val="235B16F9"/>
    <w:rsid w:val="23FE19F4"/>
    <w:rsid w:val="241138DA"/>
    <w:rsid w:val="244C44E5"/>
    <w:rsid w:val="247C0C4C"/>
    <w:rsid w:val="2480073C"/>
    <w:rsid w:val="24C543A1"/>
    <w:rsid w:val="262A2CBB"/>
    <w:rsid w:val="263F23CC"/>
    <w:rsid w:val="266254E2"/>
    <w:rsid w:val="2682316B"/>
    <w:rsid w:val="268575A2"/>
    <w:rsid w:val="26A76454"/>
    <w:rsid w:val="26C8461C"/>
    <w:rsid w:val="270124F0"/>
    <w:rsid w:val="271C3DDF"/>
    <w:rsid w:val="271C6F12"/>
    <w:rsid w:val="274900B1"/>
    <w:rsid w:val="279B67E9"/>
    <w:rsid w:val="27B30F10"/>
    <w:rsid w:val="27BA5D13"/>
    <w:rsid w:val="28091DA1"/>
    <w:rsid w:val="280D35FF"/>
    <w:rsid w:val="285C06F3"/>
    <w:rsid w:val="28F74D45"/>
    <w:rsid w:val="29233D8C"/>
    <w:rsid w:val="294B2A32"/>
    <w:rsid w:val="296F4875"/>
    <w:rsid w:val="29806800"/>
    <w:rsid w:val="29FA4563"/>
    <w:rsid w:val="2AC7171B"/>
    <w:rsid w:val="2AFF3BE5"/>
    <w:rsid w:val="2AFFBF73"/>
    <w:rsid w:val="2B1C3D63"/>
    <w:rsid w:val="2B54022C"/>
    <w:rsid w:val="2B97636B"/>
    <w:rsid w:val="2BD87761"/>
    <w:rsid w:val="2C0954BB"/>
    <w:rsid w:val="2CB21052"/>
    <w:rsid w:val="2D0F3144"/>
    <w:rsid w:val="2D5B3AF4"/>
    <w:rsid w:val="2D770B83"/>
    <w:rsid w:val="2D904A6C"/>
    <w:rsid w:val="2E0B4ED3"/>
    <w:rsid w:val="2E3F45EA"/>
    <w:rsid w:val="2E674331"/>
    <w:rsid w:val="2E801657"/>
    <w:rsid w:val="2E905A1F"/>
    <w:rsid w:val="2E984B00"/>
    <w:rsid w:val="2EA75652"/>
    <w:rsid w:val="2EB33617"/>
    <w:rsid w:val="2EC8145A"/>
    <w:rsid w:val="2F143B96"/>
    <w:rsid w:val="2F45680A"/>
    <w:rsid w:val="2FC8743B"/>
    <w:rsid w:val="309F64A0"/>
    <w:rsid w:val="30EE1123"/>
    <w:rsid w:val="31757BE2"/>
    <w:rsid w:val="31C44181"/>
    <w:rsid w:val="323E23BC"/>
    <w:rsid w:val="32780CA4"/>
    <w:rsid w:val="33161BFE"/>
    <w:rsid w:val="331B1B81"/>
    <w:rsid w:val="33431901"/>
    <w:rsid w:val="33515D89"/>
    <w:rsid w:val="336F6A99"/>
    <w:rsid w:val="33B43F5E"/>
    <w:rsid w:val="33B73314"/>
    <w:rsid w:val="33BE15AA"/>
    <w:rsid w:val="34E70363"/>
    <w:rsid w:val="351A4295"/>
    <w:rsid w:val="35297CAE"/>
    <w:rsid w:val="35A95619"/>
    <w:rsid w:val="35AF0E81"/>
    <w:rsid w:val="35FF14CE"/>
    <w:rsid w:val="364C66D0"/>
    <w:rsid w:val="373B04F2"/>
    <w:rsid w:val="37E013A3"/>
    <w:rsid w:val="38BE6CBE"/>
    <w:rsid w:val="39027277"/>
    <w:rsid w:val="394902FB"/>
    <w:rsid w:val="39552B37"/>
    <w:rsid w:val="39F43DED"/>
    <w:rsid w:val="3A5B3A0E"/>
    <w:rsid w:val="3B2D7096"/>
    <w:rsid w:val="3BB6283D"/>
    <w:rsid w:val="3CF74EBC"/>
    <w:rsid w:val="3D3B766E"/>
    <w:rsid w:val="3D456761"/>
    <w:rsid w:val="3D95517D"/>
    <w:rsid w:val="3DBF3C2B"/>
    <w:rsid w:val="3E75078E"/>
    <w:rsid w:val="3EA65EE0"/>
    <w:rsid w:val="3EF01DFA"/>
    <w:rsid w:val="3EF048F8"/>
    <w:rsid w:val="3F256FF1"/>
    <w:rsid w:val="3F3606C9"/>
    <w:rsid w:val="3F9F3D14"/>
    <w:rsid w:val="3FD85478"/>
    <w:rsid w:val="40552625"/>
    <w:rsid w:val="41124EFD"/>
    <w:rsid w:val="418A2FB1"/>
    <w:rsid w:val="41C9151C"/>
    <w:rsid w:val="42D65C43"/>
    <w:rsid w:val="437507E2"/>
    <w:rsid w:val="43D321DE"/>
    <w:rsid w:val="444F054A"/>
    <w:rsid w:val="44D526A1"/>
    <w:rsid w:val="450B33DC"/>
    <w:rsid w:val="45ED1ACB"/>
    <w:rsid w:val="46136706"/>
    <w:rsid w:val="47170634"/>
    <w:rsid w:val="47BD49EC"/>
    <w:rsid w:val="48340D37"/>
    <w:rsid w:val="488009FE"/>
    <w:rsid w:val="48AF58A4"/>
    <w:rsid w:val="49140E4A"/>
    <w:rsid w:val="49F6197E"/>
    <w:rsid w:val="49FD664F"/>
    <w:rsid w:val="4A4D0811"/>
    <w:rsid w:val="4A8E6E5F"/>
    <w:rsid w:val="4A9E1C5C"/>
    <w:rsid w:val="4D357A66"/>
    <w:rsid w:val="4D7F0CE1"/>
    <w:rsid w:val="4D8A359A"/>
    <w:rsid w:val="4DB91F0F"/>
    <w:rsid w:val="4DE12CE4"/>
    <w:rsid w:val="4E612ADD"/>
    <w:rsid w:val="4F5A1A06"/>
    <w:rsid w:val="4F610FE6"/>
    <w:rsid w:val="4FD74E04"/>
    <w:rsid w:val="4FF4724F"/>
    <w:rsid w:val="4FFA6D45"/>
    <w:rsid w:val="507D3D1D"/>
    <w:rsid w:val="50C64E79"/>
    <w:rsid w:val="51B25D1D"/>
    <w:rsid w:val="520C2D5F"/>
    <w:rsid w:val="522F0119"/>
    <w:rsid w:val="52302EF2"/>
    <w:rsid w:val="524F7E77"/>
    <w:rsid w:val="5317053D"/>
    <w:rsid w:val="535B5CDF"/>
    <w:rsid w:val="53706A37"/>
    <w:rsid w:val="53967EFF"/>
    <w:rsid w:val="53D03836"/>
    <w:rsid w:val="54005FE1"/>
    <w:rsid w:val="542F2E01"/>
    <w:rsid w:val="549534E0"/>
    <w:rsid w:val="5497353F"/>
    <w:rsid w:val="54B87480"/>
    <w:rsid w:val="54BE47E5"/>
    <w:rsid w:val="554B27D3"/>
    <w:rsid w:val="55733ABC"/>
    <w:rsid w:val="55C232F1"/>
    <w:rsid w:val="566B274A"/>
    <w:rsid w:val="56FA587C"/>
    <w:rsid w:val="575256B8"/>
    <w:rsid w:val="58690F0C"/>
    <w:rsid w:val="58B8581B"/>
    <w:rsid w:val="59BB7545"/>
    <w:rsid w:val="5AA04289"/>
    <w:rsid w:val="5AA37D5F"/>
    <w:rsid w:val="5B6946B3"/>
    <w:rsid w:val="5B9938B6"/>
    <w:rsid w:val="5BE27996"/>
    <w:rsid w:val="5C69538A"/>
    <w:rsid w:val="5C9546B0"/>
    <w:rsid w:val="5CBE43EC"/>
    <w:rsid w:val="5E7906CF"/>
    <w:rsid w:val="5EBA601D"/>
    <w:rsid w:val="5F0A525A"/>
    <w:rsid w:val="5F3538F6"/>
    <w:rsid w:val="5F3833E6"/>
    <w:rsid w:val="5F887EC9"/>
    <w:rsid w:val="5FB7149A"/>
    <w:rsid w:val="5FEF1C64"/>
    <w:rsid w:val="608156A7"/>
    <w:rsid w:val="613D4CE3"/>
    <w:rsid w:val="61635910"/>
    <w:rsid w:val="62364CFF"/>
    <w:rsid w:val="62CE653B"/>
    <w:rsid w:val="631B00C2"/>
    <w:rsid w:val="63805977"/>
    <w:rsid w:val="63E44EBF"/>
    <w:rsid w:val="641B6B36"/>
    <w:rsid w:val="64711D88"/>
    <w:rsid w:val="66125141"/>
    <w:rsid w:val="66A3383B"/>
    <w:rsid w:val="66AA5829"/>
    <w:rsid w:val="66F928BE"/>
    <w:rsid w:val="67D31F4F"/>
    <w:rsid w:val="68F4037D"/>
    <w:rsid w:val="690A5DF3"/>
    <w:rsid w:val="69350634"/>
    <w:rsid w:val="69C441F4"/>
    <w:rsid w:val="6A8614A9"/>
    <w:rsid w:val="6B297E9F"/>
    <w:rsid w:val="6B7439F8"/>
    <w:rsid w:val="6BAEAD86"/>
    <w:rsid w:val="6BE741CA"/>
    <w:rsid w:val="6C4C13FC"/>
    <w:rsid w:val="6CB40633"/>
    <w:rsid w:val="6D3900FA"/>
    <w:rsid w:val="6D6C2BD8"/>
    <w:rsid w:val="6D793C12"/>
    <w:rsid w:val="6DCA3150"/>
    <w:rsid w:val="6DD8201C"/>
    <w:rsid w:val="6E126B0D"/>
    <w:rsid w:val="6E33307A"/>
    <w:rsid w:val="6EAB5982"/>
    <w:rsid w:val="6ED43FE2"/>
    <w:rsid w:val="6FA80114"/>
    <w:rsid w:val="6FF72313"/>
    <w:rsid w:val="707E4226"/>
    <w:rsid w:val="70C06D67"/>
    <w:rsid w:val="711F7F62"/>
    <w:rsid w:val="713E625B"/>
    <w:rsid w:val="716252C6"/>
    <w:rsid w:val="72E66F89"/>
    <w:rsid w:val="72F07E08"/>
    <w:rsid w:val="73726A6F"/>
    <w:rsid w:val="73B60CFF"/>
    <w:rsid w:val="742064CB"/>
    <w:rsid w:val="74313AB7"/>
    <w:rsid w:val="743431B5"/>
    <w:rsid w:val="74B3733F"/>
    <w:rsid w:val="74B9560C"/>
    <w:rsid w:val="74DE12C2"/>
    <w:rsid w:val="750C7615"/>
    <w:rsid w:val="75526B58"/>
    <w:rsid w:val="762F1FFB"/>
    <w:rsid w:val="766A7ED1"/>
    <w:rsid w:val="767E572A"/>
    <w:rsid w:val="76E55340"/>
    <w:rsid w:val="7707316D"/>
    <w:rsid w:val="774D3109"/>
    <w:rsid w:val="77620752"/>
    <w:rsid w:val="777728A5"/>
    <w:rsid w:val="77B70EF4"/>
    <w:rsid w:val="782A59EF"/>
    <w:rsid w:val="78830EC5"/>
    <w:rsid w:val="78B47B29"/>
    <w:rsid w:val="78F47F26"/>
    <w:rsid w:val="790E7239"/>
    <w:rsid w:val="79DA3F44"/>
    <w:rsid w:val="7A2F24A2"/>
    <w:rsid w:val="7BCE7A18"/>
    <w:rsid w:val="7BEC1388"/>
    <w:rsid w:val="7BFB1CF7"/>
    <w:rsid w:val="7C8E50F0"/>
    <w:rsid w:val="7CF9397F"/>
    <w:rsid w:val="7D3F583D"/>
    <w:rsid w:val="7D8A0E59"/>
    <w:rsid w:val="7DCE52EB"/>
    <w:rsid w:val="7DFD5C85"/>
    <w:rsid w:val="7E2D1F10"/>
    <w:rsid w:val="7ED9575A"/>
    <w:rsid w:val="7F141322"/>
    <w:rsid w:val="7F142AD7"/>
    <w:rsid w:val="7F4705C3"/>
    <w:rsid w:val="7F6E456A"/>
    <w:rsid w:val="7FE74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260" w:after="260" w:line="413" w:lineRule="auto"/>
      <w:outlineLvl w:val="1"/>
    </w:pPr>
    <w:rPr>
      <w:rFonts w:ascii="Arial" w:hAnsi="Arial" w:eastAsia="华文仿宋"/>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4"/>
    <w:next w:val="4"/>
    <w:qFormat/>
    <w:uiPriority w:val="0"/>
    <w:pPr>
      <w:widowControl w:val="0"/>
      <w:spacing w:after="140" w:line="276" w:lineRule="auto"/>
      <w:jc w:val="both"/>
    </w:pPr>
    <w:rPr>
      <w:rFonts w:asciiTheme="minorHAnsi" w:hAnsiTheme="minorHAnsi" w:eastAsiaTheme="minorEastAsia" w:cstheme="minorBidi"/>
      <w:kern w:val="2"/>
      <w:sz w:val="21"/>
      <w:szCs w:val="22"/>
      <w:lang w:val="en-US" w:eastAsia="zh-CN" w:bidi="ar-SA"/>
    </w:rPr>
  </w:style>
  <w:style w:type="paragraph" w:styleId="4">
    <w:name w:val="Title"/>
    <w:next w:val="1"/>
    <w:qFormat/>
    <w:uiPriority w:val="10"/>
    <w:pPr>
      <w:widowControl/>
      <w:spacing w:line="700" w:lineRule="exact"/>
      <w:jc w:val="center"/>
      <w:textAlignment w:val="top"/>
      <w:outlineLvl w:val="0"/>
    </w:pPr>
    <w:rPr>
      <w:rFonts w:ascii="Times New Roman" w:hAnsi="Times New Roman" w:eastAsia="方正小标宋简体" w:cstheme="majorBidi"/>
      <w:b/>
      <w:bCs/>
      <w:sz w:val="44"/>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1">
    <w:name w:val="Hyperlink"/>
    <w:basedOn w:val="10"/>
    <w:qFormat/>
    <w:uiPriority w:val="0"/>
    <w:rPr>
      <w:color w:val="0000FF"/>
      <w:u w:val="single"/>
    </w:rPr>
  </w:style>
  <w:style w:type="paragraph" w:styleId="12">
    <w:name w:val="List Paragraph"/>
    <w:basedOn w:val="1"/>
    <w:unhideWhenUsed/>
    <w:qFormat/>
    <w:uiPriority w:val="99"/>
    <w:pPr>
      <w:ind w:firstLine="420" w:firstLineChars="200"/>
    </w:pPr>
  </w:style>
  <w:style w:type="character" w:customStyle="1" w:styleId="13">
    <w:name w:val="标题 2 Char"/>
    <w:basedOn w:val="10"/>
    <w:link w:val="2"/>
    <w:qFormat/>
    <w:uiPriority w:val="0"/>
    <w:rPr>
      <w:rFonts w:ascii="Arial" w:hAnsi="Arial" w:eastAsia="华文仿宋"/>
      <w:b/>
      <w:sz w:val="32"/>
    </w:rPr>
  </w:style>
  <w:style w:type="paragraph" w:customStyle="1" w:styleId="14">
    <w:name w:val="Body Text First Indent 21"/>
    <w:next w:val="3"/>
    <w:qFormat/>
    <w:uiPriority w:val="0"/>
    <w:pPr>
      <w:widowControl w:val="0"/>
      <w:spacing w:line="500" w:lineRule="exact"/>
      <w:ind w:firstLine="420" w:firstLineChars="200"/>
      <w:jc w:val="both"/>
    </w:pPr>
    <w:rPr>
      <w:rFonts w:ascii="Times New Roman" w:hAnsi="Times New Roman" w:cs="Times New Roman" w:eastAsiaTheme="minorEastAsia"/>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2415</Words>
  <Characters>2580</Characters>
  <Lines>0</Lines>
  <Paragraphs>0</Paragraphs>
  <TotalTime>62</TotalTime>
  <ScaleCrop>false</ScaleCrop>
  <LinksUpToDate>false</LinksUpToDate>
  <CharactersWithSpaces>2654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2024-09-20T18:47:00Z</dcterms:created>
  <dc:creator>Lenovo</dc:creator>
  <cp:lastModifiedBy>Mts</cp:lastModifiedBy>
  <dcterms:modified xsi:type="dcterms:W3CDTF">2026-08-26T06:36:10Z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6EC633BECB42402DB4FB8B65B3651BE9_13</vt:lpwstr>
  </property>
  <property fmtid="{D5CDD505-2E9C-101B-9397-08002B2CF9AE}" pid="4" name="KSOTemplateDocerSaveRecord">
    <vt:lpwstr>eyJoZGlkIjoiN2E5NzNkNmExODVjNDE5MmE2YTM0Mjc0NjJjNGRhOTkiLCJ1c2VySWQiOiIxNjUyOTgzMzYwIn0=</vt:lpwstr>
  </property>
</Properties>
</file>