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661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bookmarkStart w:id="1" w:name="_GoBack"/>
      <w:bookmarkEnd w:id="1"/>
      <w:r>
        <w:rPr>
          <w:rFonts w:hint="eastAsia" w:ascii="黑体" w:hAnsi="黑体" w:eastAsia="黑体" w:cs="黑体"/>
          <w:sz w:val="32"/>
          <w:szCs w:val="32"/>
          <w:lang w:val="en-US" w:eastAsia="zh-CN"/>
        </w:rPr>
        <w:t>附件</w:t>
      </w:r>
    </w:p>
    <w:p w14:paraId="5BE4DC7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14:paraId="6F513A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lang w:val="en-US" w:eastAsia="zh-CN"/>
        </w:rPr>
      </w:pPr>
      <w:r>
        <w:rPr>
          <w:rFonts w:hint="eastAsia" w:ascii="方正小标宋简体" w:hAnsi="微软雅黑" w:eastAsia="方正小标宋简体"/>
          <w:sz w:val="44"/>
          <w:szCs w:val="36"/>
          <w:shd w:val="clear" w:color="auto" w:fill="FFFFFF"/>
        </w:rPr>
        <w:t>首都工匠学院2026年“古木匠心”古树名木管护技术高技能人才</w:t>
      </w:r>
      <w:r>
        <w:rPr>
          <w:rFonts w:hint="eastAsia" w:ascii="方正小标宋简体" w:hAnsi="微软雅黑" w:eastAsia="方正小标宋简体"/>
          <w:sz w:val="44"/>
          <w:szCs w:val="36"/>
          <w:shd w:val="clear" w:color="auto" w:fill="FFFFFF"/>
          <w:lang w:eastAsia="zh-CN"/>
        </w:rPr>
        <w:t>培训</w:t>
      </w:r>
      <w:r>
        <w:rPr>
          <w:rFonts w:hint="eastAsia" w:ascii="方正小标宋简体" w:hAnsi="微软雅黑" w:eastAsia="方正小标宋简体"/>
          <w:sz w:val="44"/>
          <w:szCs w:val="36"/>
          <w:shd w:val="clear" w:color="auto" w:fill="FFFFFF"/>
        </w:rPr>
        <w:t>班实施方案</w:t>
      </w:r>
    </w:p>
    <w:p w14:paraId="1E42E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lang w:eastAsia="zh-CN"/>
        </w:rPr>
      </w:pPr>
    </w:p>
    <w:p w14:paraId="29068C4D">
      <w:pPr>
        <w:pStyle w:val="12"/>
        <w:spacing w:line="560" w:lineRule="exact"/>
        <w:ind w:firstLine="640"/>
        <w:jc w:val="left"/>
        <w:rPr>
          <w:rFonts w:hint="eastAsia" w:eastAsiaTheme="minorEastAsia"/>
          <w:sz w:val="30"/>
          <w:szCs w:val="30"/>
          <w:lang w:eastAsia="zh-CN"/>
        </w:rPr>
      </w:pPr>
      <w:r>
        <w:rPr>
          <w:rFonts w:hint="eastAsia" w:ascii="黑体" w:hAnsi="黑体" w:eastAsia="黑体"/>
          <w:sz w:val="32"/>
          <w:szCs w:val="32"/>
        </w:rPr>
        <w:t>一、培</w:t>
      </w:r>
      <w:r>
        <w:rPr>
          <w:rFonts w:hint="eastAsia" w:ascii="黑体" w:hAnsi="黑体" w:eastAsia="黑体"/>
          <w:sz w:val="32"/>
          <w:szCs w:val="32"/>
          <w:lang w:val="en-US" w:eastAsia="zh-CN"/>
        </w:rPr>
        <w:t>训</w:t>
      </w:r>
      <w:r>
        <w:rPr>
          <w:rFonts w:hint="eastAsia" w:ascii="黑体" w:hAnsi="黑体" w:eastAsia="黑体"/>
          <w:sz w:val="32"/>
          <w:szCs w:val="32"/>
        </w:rPr>
        <w:t>目标</w:t>
      </w:r>
    </w:p>
    <w:p w14:paraId="74CE755F">
      <w:pPr>
        <w:pageBreakBefore w:val="0"/>
        <w:wordWrap/>
        <w:overflowPunct w:val="0"/>
        <w:topLinePunct w:val="0"/>
        <w:bidi w:val="0"/>
        <w:spacing w:line="560" w:lineRule="exact"/>
        <w:ind w:left="0" w:leftChars="0" w:right="0" w:firstLine="640" w:firstLineChars="200"/>
        <w:jc w:val="left"/>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本次培训旨在帮助学员系统理解“三个精神”的核心内涵，全面掌握《古树名木保护条例》等法定条款及北京市配套古树名木保护管理制度要求，了解北京市现存古树现状及分布情况，掌握现行古树名木复壮技术与保护措施的操作要点，进一步提升在首都古树名木管护中依据新标准、应用新技术解决实际问题的能力，强化学员的科学管护意识，为首都“十五五”期间古树名木保护工作定向储备和输送高技能骨干人才。</w:t>
      </w:r>
    </w:p>
    <w:p w14:paraId="1242D259">
      <w:pPr>
        <w:pStyle w:val="12"/>
        <w:spacing w:line="560" w:lineRule="exact"/>
        <w:ind w:firstLine="640"/>
        <w:jc w:val="left"/>
        <w:rPr>
          <w:rFonts w:hint="eastAsia" w:ascii="黑体" w:hAnsi="黑体" w:eastAsia="黑体"/>
          <w:sz w:val="32"/>
          <w:szCs w:val="32"/>
          <w:lang w:val="en-US" w:eastAsia="zh-CN"/>
        </w:rPr>
      </w:pPr>
      <w:r>
        <w:rPr>
          <w:rFonts w:hint="eastAsia" w:ascii="黑体" w:hAnsi="黑体" w:eastAsia="黑体"/>
          <w:sz w:val="32"/>
          <w:szCs w:val="32"/>
          <w:lang w:eastAsia="zh-CN"/>
        </w:rPr>
        <w:t>二</w:t>
      </w:r>
      <w:r>
        <w:rPr>
          <w:rFonts w:hint="eastAsia" w:ascii="黑体" w:hAnsi="黑体" w:eastAsia="黑体"/>
          <w:sz w:val="32"/>
          <w:szCs w:val="32"/>
        </w:rPr>
        <w:t>、培</w:t>
      </w:r>
      <w:r>
        <w:rPr>
          <w:rFonts w:hint="eastAsia" w:ascii="黑体" w:hAnsi="黑体" w:eastAsia="黑体"/>
          <w:sz w:val="32"/>
          <w:szCs w:val="32"/>
          <w:lang w:val="en-US" w:eastAsia="zh-CN"/>
        </w:rPr>
        <w:t>训</w:t>
      </w:r>
      <w:r>
        <w:rPr>
          <w:rFonts w:hint="eastAsia" w:ascii="黑体" w:hAnsi="黑体" w:eastAsia="黑体"/>
          <w:sz w:val="32"/>
          <w:szCs w:val="32"/>
        </w:rPr>
        <w:t>时间</w:t>
      </w:r>
      <w:r>
        <w:rPr>
          <w:rFonts w:hint="eastAsia" w:ascii="黑体" w:hAnsi="黑体" w:eastAsia="黑体"/>
          <w:sz w:val="32"/>
          <w:szCs w:val="32"/>
          <w:lang w:val="en-US" w:eastAsia="zh-CN"/>
        </w:rPr>
        <w:t>及培训人数</w:t>
      </w:r>
    </w:p>
    <w:p w14:paraId="708052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b w:val="0"/>
          <w:bCs/>
          <w:lang w:val="en-US" w:eastAsia="zh-CN"/>
        </w:rPr>
      </w:pPr>
      <w:r>
        <w:rPr>
          <w:rFonts w:hint="eastAsia" w:ascii="仿宋_GB2312" w:hAnsi="宋体" w:eastAsia="仿宋_GB2312" w:cs="仿宋_GB2312"/>
          <w:kern w:val="0"/>
          <w:sz w:val="32"/>
          <w:szCs w:val="32"/>
          <w:lang w:val="en-US" w:eastAsia="zh-CN" w:bidi="ar"/>
        </w:rPr>
        <w:t>1.培训时间：2026</w:t>
      </w:r>
      <w:r>
        <w:rPr>
          <w:rFonts w:hint="eastAsia" w:ascii="仿宋_GB2312" w:hAnsi="宋体" w:eastAsia="仿宋_GB2312" w:cs="仿宋_GB2312"/>
          <w:kern w:val="0"/>
          <w:sz w:val="32"/>
          <w:szCs w:val="32"/>
          <w:highlight w:val="none"/>
          <w:lang w:val="en-US" w:eastAsia="zh-CN" w:bidi="ar"/>
        </w:rPr>
        <w:t>年9月20日至9月24日，</w:t>
      </w:r>
      <w:r>
        <w:rPr>
          <w:rFonts w:hint="eastAsia" w:ascii="仿宋_GB2312" w:hAnsi="宋体" w:eastAsia="仿宋_GB2312" w:cs="仿宋_GB2312"/>
          <w:kern w:val="0"/>
          <w:sz w:val="32"/>
          <w:szCs w:val="32"/>
          <w:lang w:val="en-US" w:eastAsia="zh-CN" w:bidi="ar"/>
        </w:rPr>
        <w:t>共计40学时。</w:t>
      </w:r>
    </w:p>
    <w:p w14:paraId="0874C0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2.培训人数：不低于50人。</w:t>
      </w:r>
    </w:p>
    <w:p w14:paraId="248666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三、培训对象</w:t>
      </w:r>
    </w:p>
    <w:p w14:paraId="1463D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面向相关职业高级工及以上职业资格或中级职称及以上专业技术资格人员，园林绿化相关职工创新工作室成员，市级职业技能大赛参赛选手、京津冀技能大赛参赛选手，在园林绿化领域一线工作并掌握相关技能的职工，其他在行业（领域）有贡献的高技能人才。</w:t>
      </w:r>
    </w:p>
    <w:p w14:paraId="035B12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highlight w:val="none"/>
          <w:lang w:val="en-US" w:eastAsia="zh-CN" w:bidi="ar-SA"/>
        </w:rPr>
      </w:pPr>
      <w:r>
        <w:rPr>
          <w:rFonts w:hint="eastAsia" w:ascii="黑体" w:hAnsi="黑体" w:eastAsia="黑体" w:cstheme="minorBidi"/>
          <w:kern w:val="2"/>
          <w:sz w:val="32"/>
          <w:szCs w:val="32"/>
          <w:highlight w:val="none"/>
          <w:lang w:val="en-US" w:eastAsia="zh-CN" w:bidi="ar-SA"/>
        </w:rPr>
        <w:t>四、培训内容</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917"/>
        <w:gridCol w:w="4439"/>
        <w:gridCol w:w="1359"/>
        <w:gridCol w:w="1011"/>
      </w:tblGrid>
      <w:tr w14:paraId="3CAD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240" w:type="pct"/>
            <w:gridSpan w:val="2"/>
            <w:vAlign w:val="center"/>
          </w:tcPr>
          <w:p w14:paraId="07893B77">
            <w:pPr>
              <w:jc w:val="center"/>
              <w:rPr>
                <w:rFonts w:hint="eastAsia" w:ascii="黑体" w:hAnsi="黑体" w:eastAsia="黑体" w:cs="黑体"/>
                <w:b w:val="0"/>
                <w:bCs w:val="0"/>
                <w:sz w:val="28"/>
                <w:szCs w:val="24"/>
              </w:rPr>
            </w:pPr>
            <w:r>
              <w:rPr>
                <w:rFonts w:hint="eastAsia" w:ascii="黑体" w:hAnsi="黑体" w:eastAsia="黑体" w:cs="黑体"/>
                <w:b w:val="0"/>
                <w:bCs w:val="0"/>
                <w:sz w:val="28"/>
                <w:szCs w:val="24"/>
              </w:rPr>
              <w:t>时间</w:t>
            </w:r>
          </w:p>
        </w:tc>
        <w:tc>
          <w:tcPr>
            <w:tcW w:w="2450" w:type="pct"/>
            <w:vAlign w:val="center"/>
          </w:tcPr>
          <w:p w14:paraId="427C1622">
            <w:pPr>
              <w:jc w:val="center"/>
              <w:rPr>
                <w:rFonts w:hint="eastAsia" w:ascii="黑体" w:hAnsi="黑体" w:eastAsia="黑体" w:cs="黑体"/>
                <w:b w:val="0"/>
                <w:bCs w:val="0"/>
                <w:sz w:val="28"/>
                <w:szCs w:val="24"/>
              </w:rPr>
            </w:pPr>
            <w:r>
              <w:rPr>
                <w:rFonts w:hint="eastAsia" w:ascii="黑体" w:hAnsi="黑体" w:eastAsia="黑体" w:cs="黑体"/>
                <w:b w:val="0"/>
                <w:bCs w:val="0"/>
                <w:sz w:val="28"/>
                <w:szCs w:val="24"/>
              </w:rPr>
              <w:t>课程名称</w:t>
            </w:r>
          </w:p>
        </w:tc>
        <w:tc>
          <w:tcPr>
            <w:tcW w:w="750" w:type="pct"/>
            <w:vAlign w:val="center"/>
          </w:tcPr>
          <w:p w14:paraId="378D5161">
            <w:pPr>
              <w:jc w:val="center"/>
              <w:rPr>
                <w:rFonts w:hint="eastAsia" w:ascii="黑体" w:hAnsi="黑体" w:eastAsia="黑体" w:cs="黑体"/>
                <w:b w:val="0"/>
                <w:bCs w:val="0"/>
                <w:sz w:val="28"/>
                <w:szCs w:val="24"/>
              </w:rPr>
            </w:pPr>
            <w:r>
              <w:rPr>
                <w:rFonts w:hint="eastAsia" w:ascii="黑体" w:hAnsi="黑体" w:eastAsia="黑体" w:cs="黑体"/>
                <w:b w:val="0"/>
                <w:bCs w:val="0"/>
                <w:sz w:val="28"/>
                <w:szCs w:val="24"/>
              </w:rPr>
              <w:t>培训方式</w:t>
            </w:r>
          </w:p>
        </w:tc>
        <w:tc>
          <w:tcPr>
            <w:tcW w:w="558" w:type="pct"/>
            <w:vAlign w:val="center"/>
          </w:tcPr>
          <w:p w14:paraId="1F3221E9">
            <w:pPr>
              <w:jc w:val="center"/>
              <w:rPr>
                <w:rFonts w:hint="eastAsia" w:ascii="黑体" w:hAnsi="黑体" w:eastAsia="黑体" w:cs="黑体"/>
                <w:b w:val="0"/>
                <w:bCs w:val="0"/>
                <w:sz w:val="28"/>
                <w:szCs w:val="24"/>
              </w:rPr>
            </w:pPr>
            <w:r>
              <w:rPr>
                <w:rFonts w:hint="eastAsia" w:ascii="黑体" w:hAnsi="黑体" w:eastAsia="黑体" w:cs="黑体"/>
                <w:b w:val="0"/>
                <w:bCs w:val="0"/>
                <w:sz w:val="28"/>
                <w:szCs w:val="24"/>
              </w:rPr>
              <w:t>学时</w:t>
            </w:r>
          </w:p>
        </w:tc>
      </w:tr>
      <w:tr w14:paraId="6BC3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restart"/>
            <w:vAlign w:val="center"/>
          </w:tcPr>
          <w:p w14:paraId="73EBB676">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sz w:val="24"/>
                <w:lang w:eastAsia="zh-CN"/>
              </w:rPr>
            </w:pPr>
            <w:r>
              <w:rPr>
                <w:rFonts w:hint="eastAsia" w:ascii="仿宋_GB2312" w:hAnsi="仿宋_GB2312" w:eastAsia="仿宋_GB2312" w:cs="仿宋_GB2312"/>
                <w:sz w:val="28"/>
                <w:szCs w:val="28"/>
                <w:highlight w:val="none"/>
                <w:lang w:val="en-US" w:eastAsia="zh-CN"/>
              </w:rPr>
              <w:t>9月20日</w:t>
            </w:r>
          </w:p>
        </w:tc>
        <w:tc>
          <w:tcPr>
            <w:tcW w:w="506" w:type="pct"/>
            <w:vMerge w:val="restart"/>
            <w:vAlign w:val="center"/>
          </w:tcPr>
          <w:p w14:paraId="08BF607C">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rPr>
              <w:t>上午</w:t>
            </w:r>
          </w:p>
        </w:tc>
        <w:tc>
          <w:tcPr>
            <w:tcW w:w="2450" w:type="pct"/>
            <w:vAlign w:val="center"/>
          </w:tcPr>
          <w:p w14:paraId="0644B4AB">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开班仪式</w:t>
            </w:r>
          </w:p>
        </w:tc>
        <w:tc>
          <w:tcPr>
            <w:tcW w:w="750" w:type="pct"/>
            <w:vMerge w:val="restart"/>
            <w:vAlign w:val="center"/>
          </w:tcPr>
          <w:p w14:paraId="73EF42B0">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lang w:val="en-US" w:eastAsia="zh-CN"/>
              </w:rPr>
            </w:pPr>
            <w:r>
              <w:rPr>
                <w:rFonts w:hint="eastAsia" w:ascii="仿宋_GB2312" w:hAnsi="仿宋_GB2312" w:eastAsia="仿宋_GB2312" w:cs="仿宋_GB2312"/>
                <w:sz w:val="28"/>
                <w:szCs w:val="28"/>
                <w:highlight w:val="none"/>
                <w:lang w:eastAsia="zh-CN"/>
              </w:rPr>
              <w:t>理论</w:t>
            </w:r>
          </w:p>
        </w:tc>
        <w:tc>
          <w:tcPr>
            <w:tcW w:w="558" w:type="pct"/>
            <w:vMerge w:val="restart"/>
            <w:vAlign w:val="center"/>
          </w:tcPr>
          <w:p w14:paraId="5AA787E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sz w:val="24"/>
                <w:lang w:val="en-US" w:eastAsia="zh-CN"/>
              </w:rPr>
            </w:pPr>
            <w:r>
              <w:rPr>
                <w:rFonts w:hint="eastAsia" w:ascii="仿宋_GB2312" w:hAnsi="仿宋_GB2312" w:eastAsia="仿宋_GB2312" w:cs="仿宋_GB2312"/>
                <w:sz w:val="28"/>
                <w:szCs w:val="28"/>
                <w:highlight w:val="none"/>
                <w:lang w:val="en-US" w:eastAsia="zh-CN"/>
              </w:rPr>
              <w:t>4</w:t>
            </w:r>
          </w:p>
        </w:tc>
      </w:tr>
      <w:tr w14:paraId="599C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continue"/>
            <w:vAlign w:val="center"/>
          </w:tcPr>
          <w:p w14:paraId="128EA399">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sz w:val="24"/>
                <w:lang w:eastAsia="zh-CN"/>
              </w:rPr>
            </w:pPr>
          </w:p>
        </w:tc>
        <w:tc>
          <w:tcPr>
            <w:tcW w:w="506" w:type="pct"/>
            <w:vMerge w:val="continue"/>
            <w:vAlign w:val="center"/>
          </w:tcPr>
          <w:p w14:paraId="17B1AA94">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sz w:val="24"/>
                <w:lang w:val="en-US" w:eastAsia="zh-CN"/>
              </w:rPr>
            </w:pPr>
          </w:p>
        </w:tc>
        <w:tc>
          <w:tcPr>
            <w:tcW w:w="2450" w:type="pct"/>
            <w:vAlign w:val="center"/>
          </w:tcPr>
          <w:p w14:paraId="74D4412F">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sz w:val="24"/>
                <w:lang w:val="en-US" w:eastAsia="zh-CN"/>
              </w:rPr>
            </w:pPr>
            <w:r>
              <w:rPr>
                <w:rFonts w:hint="eastAsia" w:ascii="仿宋_GB2312" w:hAnsi="仿宋_GB2312" w:eastAsia="仿宋_GB2312" w:cs="仿宋_GB2312"/>
                <w:sz w:val="28"/>
                <w:szCs w:val="28"/>
                <w:highlight w:val="none"/>
                <w:lang w:val="en-US" w:eastAsia="zh-CN"/>
              </w:rPr>
              <w:t>三个精神宣讲</w:t>
            </w:r>
          </w:p>
        </w:tc>
        <w:tc>
          <w:tcPr>
            <w:tcW w:w="750" w:type="pct"/>
            <w:vMerge w:val="continue"/>
            <w:vAlign w:val="center"/>
          </w:tcPr>
          <w:p w14:paraId="76D17819">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lang w:val="en-US" w:eastAsia="zh-CN"/>
              </w:rPr>
            </w:pPr>
          </w:p>
        </w:tc>
        <w:tc>
          <w:tcPr>
            <w:tcW w:w="558" w:type="pct"/>
            <w:vMerge w:val="continue"/>
            <w:vAlign w:val="center"/>
          </w:tcPr>
          <w:p w14:paraId="1B8345D8">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sz w:val="24"/>
                <w:lang w:val="en-US" w:eastAsia="zh-CN"/>
              </w:rPr>
            </w:pPr>
          </w:p>
        </w:tc>
      </w:tr>
      <w:tr w14:paraId="574C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continue"/>
            <w:vAlign w:val="center"/>
          </w:tcPr>
          <w:p w14:paraId="69027895">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p>
        </w:tc>
        <w:tc>
          <w:tcPr>
            <w:tcW w:w="506" w:type="pct"/>
            <w:vAlign w:val="center"/>
          </w:tcPr>
          <w:p w14:paraId="0E8D2636">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hAnsi="宋体" w:eastAsia="仿宋_GB2312" w:cs="宋体"/>
                <w:sz w:val="24"/>
                <w:lang w:val="en-US" w:eastAsia="zh-CN"/>
              </w:rPr>
            </w:pPr>
            <w:r>
              <w:rPr>
                <w:rFonts w:hint="eastAsia" w:ascii="仿宋_GB2312" w:hAnsi="仿宋_GB2312" w:eastAsia="仿宋_GB2312" w:cs="仿宋_GB2312"/>
                <w:sz w:val="28"/>
                <w:szCs w:val="28"/>
                <w:highlight w:val="none"/>
              </w:rPr>
              <w:t>下午</w:t>
            </w:r>
          </w:p>
        </w:tc>
        <w:tc>
          <w:tcPr>
            <w:tcW w:w="2450" w:type="pct"/>
            <w:vAlign w:val="center"/>
          </w:tcPr>
          <w:p w14:paraId="12D78ECC">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color w:val="auto"/>
                <w:sz w:val="24"/>
                <w:highlight w:val="none"/>
                <w:lang w:val="en-US" w:eastAsia="zh-CN"/>
              </w:rPr>
            </w:pPr>
            <w:r>
              <w:rPr>
                <w:rFonts w:hint="eastAsia" w:ascii="仿宋_GB2312" w:hAnsi="仿宋_GB2312" w:eastAsia="仿宋_GB2312" w:cs="仿宋_GB2312"/>
                <w:color w:val="000000"/>
                <w:sz w:val="28"/>
                <w:szCs w:val="28"/>
                <w:highlight w:val="none"/>
              </w:rPr>
              <w:t>《古树名木保护条例》宣贯</w:t>
            </w:r>
          </w:p>
        </w:tc>
        <w:tc>
          <w:tcPr>
            <w:tcW w:w="750" w:type="pct"/>
            <w:vAlign w:val="center"/>
          </w:tcPr>
          <w:p w14:paraId="5F22CD6D">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color w:val="auto"/>
                <w:sz w:val="24"/>
                <w:highlight w:val="none"/>
                <w:lang w:eastAsia="zh-CN"/>
              </w:rPr>
            </w:pPr>
            <w:r>
              <w:rPr>
                <w:rFonts w:hint="eastAsia" w:ascii="仿宋_GB2312" w:hAnsi="仿宋_GB2312" w:eastAsia="仿宋_GB2312" w:cs="仿宋_GB2312"/>
                <w:sz w:val="28"/>
                <w:szCs w:val="28"/>
                <w:highlight w:val="none"/>
                <w:lang w:eastAsia="zh-CN"/>
              </w:rPr>
              <w:t>理论</w:t>
            </w:r>
          </w:p>
        </w:tc>
        <w:tc>
          <w:tcPr>
            <w:tcW w:w="558" w:type="pct"/>
            <w:vAlign w:val="center"/>
          </w:tcPr>
          <w:p w14:paraId="079D04A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highlight w:val="none"/>
                <w:lang w:eastAsia="zh-CN"/>
              </w:rPr>
            </w:pPr>
            <w:r>
              <w:rPr>
                <w:rFonts w:hint="eastAsia" w:ascii="仿宋_GB2312" w:hAnsi="仿宋_GB2312" w:eastAsia="仿宋_GB2312" w:cs="仿宋_GB2312"/>
                <w:sz w:val="28"/>
                <w:szCs w:val="28"/>
                <w:highlight w:val="none"/>
                <w:lang w:val="en-US" w:eastAsia="zh-CN"/>
              </w:rPr>
              <w:t>4</w:t>
            </w:r>
          </w:p>
        </w:tc>
      </w:tr>
      <w:tr w14:paraId="30DD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restart"/>
            <w:vAlign w:val="center"/>
          </w:tcPr>
          <w:p w14:paraId="14DAE96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lang w:val="en-US" w:eastAsia="zh-CN"/>
              </w:rPr>
              <w:t>9月21日</w:t>
            </w:r>
          </w:p>
        </w:tc>
        <w:tc>
          <w:tcPr>
            <w:tcW w:w="506" w:type="pct"/>
            <w:vAlign w:val="center"/>
          </w:tcPr>
          <w:p w14:paraId="29112F65">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上午</w:t>
            </w:r>
          </w:p>
        </w:tc>
        <w:tc>
          <w:tcPr>
            <w:tcW w:w="2450" w:type="pct"/>
            <w:vAlign w:val="center"/>
          </w:tcPr>
          <w:p w14:paraId="07576A38">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color w:val="auto"/>
                <w:sz w:val="24"/>
                <w:highlight w:val="none"/>
                <w:lang w:val="en-US" w:eastAsia="zh-CN"/>
              </w:rPr>
            </w:pPr>
            <w:r>
              <w:rPr>
                <w:rFonts w:hint="eastAsia" w:ascii="仿宋_GB2312" w:hAnsi="仿宋_GB2312" w:eastAsia="仿宋_GB2312" w:cs="仿宋_GB2312"/>
                <w:color w:val="000000"/>
                <w:sz w:val="28"/>
                <w:szCs w:val="28"/>
                <w:highlight w:val="none"/>
              </w:rPr>
              <w:t>北京市古树名木保护管理制度解读</w:t>
            </w:r>
          </w:p>
        </w:tc>
        <w:tc>
          <w:tcPr>
            <w:tcW w:w="750" w:type="pct"/>
            <w:vAlign w:val="center"/>
          </w:tcPr>
          <w:p w14:paraId="1EF43F2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color w:val="auto"/>
                <w:sz w:val="24"/>
                <w:highlight w:val="none"/>
                <w:lang w:eastAsia="zh-CN"/>
              </w:rPr>
            </w:pPr>
            <w:r>
              <w:rPr>
                <w:rFonts w:hint="eastAsia" w:ascii="仿宋_GB2312" w:hAnsi="仿宋_GB2312" w:eastAsia="仿宋_GB2312" w:cs="仿宋_GB2312"/>
                <w:sz w:val="28"/>
                <w:szCs w:val="28"/>
                <w:highlight w:val="none"/>
                <w:lang w:eastAsia="zh-CN"/>
              </w:rPr>
              <w:t>理论</w:t>
            </w:r>
          </w:p>
        </w:tc>
        <w:tc>
          <w:tcPr>
            <w:tcW w:w="558" w:type="pct"/>
            <w:vAlign w:val="center"/>
          </w:tcPr>
          <w:p w14:paraId="105FADD4">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highlight w:val="none"/>
                <w:lang w:eastAsia="zh-CN"/>
              </w:rPr>
            </w:pPr>
            <w:r>
              <w:rPr>
                <w:rFonts w:hint="eastAsia" w:ascii="仿宋_GB2312" w:hAnsi="仿宋_GB2312" w:eastAsia="仿宋_GB2312" w:cs="仿宋_GB2312"/>
                <w:sz w:val="28"/>
                <w:szCs w:val="28"/>
                <w:highlight w:val="none"/>
                <w:lang w:val="en-US" w:eastAsia="zh-CN"/>
              </w:rPr>
              <w:t>4</w:t>
            </w:r>
          </w:p>
        </w:tc>
      </w:tr>
      <w:tr w14:paraId="677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exact"/>
          <w:jc w:val="center"/>
        </w:trPr>
        <w:tc>
          <w:tcPr>
            <w:tcW w:w="734" w:type="pct"/>
            <w:vMerge w:val="continue"/>
            <w:vAlign w:val="center"/>
          </w:tcPr>
          <w:p w14:paraId="0E10262F">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p>
        </w:tc>
        <w:tc>
          <w:tcPr>
            <w:tcW w:w="506" w:type="pct"/>
            <w:vAlign w:val="center"/>
          </w:tcPr>
          <w:p w14:paraId="426ACFA1">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下午</w:t>
            </w:r>
          </w:p>
        </w:tc>
        <w:tc>
          <w:tcPr>
            <w:tcW w:w="2450" w:type="pct"/>
            <w:vAlign w:val="center"/>
          </w:tcPr>
          <w:p w14:paraId="2EA1585E">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color w:val="auto"/>
                <w:sz w:val="24"/>
                <w:highlight w:val="none"/>
                <w:lang w:val="en-US" w:eastAsia="zh-CN"/>
              </w:rPr>
            </w:pPr>
            <w:r>
              <w:rPr>
                <w:rFonts w:hint="eastAsia" w:ascii="仿宋_GB2312" w:hAnsi="仿宋_GB2312" w:eastAsia="仿宋_GB2312" w:cs="仿宋_GB2312"/>
                <w:color w:val="000000"/>
                <w:sz w:val="28"/>
                <w:szCs w:val="28"/>
                <w:highlight w:val="none"/>
                <w:lang w:eastAsia="zh-CN"/>
              </w:rPr>
              <w:t>《古树名木管护技术规范（试行）》</w:t>
            </w:r>
            <w:r>
              <w:rPr>
                <w:rFonts w:hint="eastAsia" w:ascii="仿宋_GB2312" w:hAnsi="仿宋_GB2312" w:eastAsia="仿宋_GB2312" w:cs="仿宋_GB2312"/>
                <w:color w:val="000000"/>
                <w:sz w:val="28"/>
                <w:szCs w:val="28"/>
                <w:highlight w:val="none"/>
                <w:lang w:val="en-US" w:eastAsia="zh-CN"/>
              </w:rPr>
              <w:t>解读及北京市古树名木分布概述</w:t>
            </w:r>
          </w:p>
        </w:tc>
        <w:tc>
          <w:tcPr>
            <w:tcW w:w="750" w:type="pct"/>
            <w:vAlign w:val="center"/>
          </w:tcPr>
          <w:p w14:paraId="128AFDAA">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color w:val="auto"/>
                <w:sz w:val="24"/>
                <w:highlight w:val="none"/>
                <w:lang w:eastAsia="zh-CN"/>
              </w:rPr>
            </w:pPr>
            <w:r>
              <w:rPr>
                <w:rFonts w:hint="eastAsia" w:ascii="仿宋_GB2312" w:hAnsi="仿宋_GB2312" w:eastAsia="仿宋_GB2312" w:cs="仿宋_GB2312"/>
                <w:sz w:val="28"/>
                <w:szCs w:val="28"/>
                <w:highlight w:val="none"/>
                <w:lang w:eastAsia="zh-CN"/>
              </w:rPr>
              <w:t>理论</w:t>
            </w:r>
          </w:p>
        </w:tc>
        <w:tc>
          <w:tcPr>
            <w:tcW w:w="558" w:type="pct"/>
            <w:vAlign w:val="center"/>
          </w:tcPr>
          <w:p w14:paraId="694DA25E">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highlight w:val="none"/>
                <w:lang w:eastAsia="zh-CN"/>
              </w:rPr>
            </w:pPr>
            <w:r>
              <w:rPr>
                <w:rFonts w:hint="eastAsia" w:ascii="仿宋_GB2312" w:hAnsi="仿宋_GB2312" w:eastAsia="仿宋_GB2312" w:cs="仿宋_GB2312"/>
                <w:sz w:val="28"/>
                <w:szCs w:val="28"/>
                <w:highlight w:val="none"/>
                <w:lang w:val="en-US" w:eastAsia="zh-CN"/>
              </w:rPr>
              <w:t>4</w:t>
            </w:r>
          </w:p>
        </w:tc>
      </w:tr>
      <w:tr w14:paraId="0642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34" w:type="pct"/>
            <w:vMerge w:val="restart"/>
            <w:vAlign w:val="center"/>
          </w:tcPr>
          <w:p w14:paraId="27BAC356">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lang w:val="en-US" w:eastAsia="zh-CN"/>
              </w:rPr>
              <w:t>9月22日</w:t>
            </w:r>
          </w:p>
        </w:tc>
        <w:tc>
          <w:tcPr>
            <w:tcW w:w="506" w:type="pct"/>
            <w:vAlign w:val="center"/>
          </w:tcPr>
          <w:p w14:paraId="541A00B5">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上午</w:t>
            </w:r>
          </w:p>
        </w:tc>
        <w:tc>
          <w:tcPr>
            <w:tcW w:w="2450" w:type="pct"/>
            <w:vAlign w:val="center"/>
          </w:tcPr>
          <w:p w14:paraId="4E729391">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sz w:val="24"/>
                <w:highlight w:val="none"/>
                <w:lang w:val="en-US" w:eastAsia="zh-CN"/>
              </w:rPr>
            </w:pPr>
            <w:r>
              <w:rPr>
                <w:rFonts w:hint="eastAsia" w:ascii="仿宋_GB2312" w:hAnsi="仿宋_GB2312" w:eastAsia="仿宋_GB2312" w:cs="仿宋_GB2312"/>
                <w:color w:val="000000"/>
                <w:sz w:val="28"/>
                <w:szCs w:val="28"/>
                <w:highlight w:val="none"/>
              </w:rPr>
              <w:t>基于古树名木保护实践的若干思考</w:t>
            </w:r>
          </w:p>
        </w:tc>
        <w:tc>
          <w:tcPr>
            <w:tcW w:w="750" w:type="pct"/>
            <w:vAlign w:val="center"/>
          </w:tcPr>
          <w:p w14:paraId="736E4DE8">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sz w:val="24"/>
                <w:highlight w:val="none"/>
                <w:lang w:val="en-US" w:eastAsia="zh-CN"/>
              </w:rPr>
            </w:pPr>
            <w:r>
              <w:rPr>
                <w:rFonts w:hint="eastAsia" w:ascii="仿宋_GB2312" w:hAnsi="仿宋_GB2312" w:eastAsia="仿宋_GB2312" w:cs="仿宋_GB2312"/>
                <w:sz w:val="28"/>
                <w:szCs w:val="28"/>
                <w:highlight w:val="none"/>
                <w:lang w:eastAsia="zh-CN"/>
              </w:rPr>
              <w:t>理论</w:t>
            </w:r>
          </w:p>
        </w:tc>
        <w:tc>
          <w:tcPr>
            <w:tcW w:w="558" w:type="pct"/>
            <w:vAlign w:val="center"/>
          </w:tcPr>
          <w:p w14:paraId="7E5DABFC">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hAnsiTheme="minorHAnsi"/>
                <w:kern w:val="2"/>
                <w:sz w:val="24"/>
                <w:szCs w:val="22"/>
                <w:highlight w:val="none"/>
                <w:lang w:val="en-US" w:eastAsia="zh-CN" w:bidi="ar-SA"/>
              </w:rPr>
            </w:pPr>
            <w:r>
              <w:rPr>
                <w:rFonts w:hint="eastAsia" w:ascii="仿宋_GB2312" w:hAnsi="仿宋_GB2312" w:eastAsia="仿宋_GB2312" w:cs="仿宋_GB2312"/>
                <w:sz w:val="28"/>
                <w:szCs w:val="28"/>
                <w:highlight w:val="none"/>
                <w:lang w:val="en-US" w:eastAsia="zh-CN"/>
              </w:rPr>
              <w:t>4</w:t>
            </w:r>
          </w:p>
        </w:tc>
      </w:tr>
      <w:tr w14:paraId="198B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34" w:type="pct"/>
            <w:vMerge w:val="continue"/>
            <w:vAlign w:val="center"/>
          </w:tcPr>
          <w:p w14:paraId="78DB8344">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p>
        </w:tc>
        <w:tc>
          <w:tcPr>
            <w:tcW w:w="506" w:type="pct"/>
            <w:vAlign w:val="center"/>
          </w:tcPr>
          <w:p w14:paraId="4D8E6FF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下午</w:t>
            </w:r>
          </w:p>
        </w:tc>
        <w:tc>
          <w:tcPr>
            <w:tcW w:w="2450" w:type="pct"/>
            <w:vAlign w:val="center"/>
          </w:tcPr>
          <w:p w14:paraId="72090689">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hAnsi="宋体" w:eastAsia="仿宋_GB2312" w:cs="宋体"/>
                <w:sz w:val="24"/>
                <w:highlight w:val="none"/>
                <w:lang w:val="en-US" w:eastAsia="zh-CN"/>
              </w:rPr>
            </w:pPr>
            <w:r>
              <w:rPr>
                <w:rFonts w:hint="eastAsia" w:ascii="仿宋_GB2312" w:hAnsi="仿宋_GB2312" w:eastAsia="仿宋_GB2312" w:cs="仿宋_GB2312"/>
                <w:kern w:val="2"/>
                <w:sz w:val="28"/>
                <w:szCs w:val="28"/>
                <w:highlight w:val="none"/>
                <w:lang w:val="en-US" w:eastAsia="zh-CN" w:bidi="ar-SA"/>
              </w:rPr>
              <w:t>现场考察教学：香山</w:t>
            </w:r>
          </w:p>
        </w:tc>
        <w:tc>
          <w:tcPr>
            <w:tcW w:w="750" w:type="pct"/>
            <w:vAlign w:val="center"/>
          </w:tcPr>
          <w:p w14:paraId="7E5E2A5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hAnsiTheme="minorHAnsi"/>
                <w:kern w:val="2"/>
                <w:sz w:val="24"/>
                <w:szCs w:val="22"/>
                <w:highlight w:val="none"/>
                <w:lang w:val="en-US" w:eastAsia="zh-CN" w:bidi="ar-SA"/>
              </w:rPr>
            </w:pPr>
            <w:r>
              <w:rPr>
                <w:rFonts w:hint="eastAsia" w:ascii="仿宋_GB2312" w:hAnsi="仿宋_GB2312" w:eastAsia="仿宋_GB2312" w:cs="仿宋_GB2312"/>
                <w:sz w:val="28"/>
                <w:szCs w:val="28"/>
                <w:highlight w:val="none"/>
              </w:rPr>
              <w:t>实操</w:t>
            </w:r>
          </w:p>
        </w:tc>
        <w:tc>
          <w:tcPr>
            <w:tcW w:w="558" w:type="pct"/>
            <w:vAlign w:val="center"/>
          </w:tcPr>
          <w:p w14:paraId="398FC6C8">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imes New Roman" w:hAnsiTheme="minorHAnsi"/>
                <w:kern w:val="2"/>
                <w:sz w:val="24"/>
                <w:szCs w:val="22"/>
                <w:highlight w:val="none"/>
                <w:lang w:val="en-US" w:eastAsia="zh-CN" w:bidi="ar-SA"/>
              </w:rPr>
            </w:pPr>
            <w:r>
              <w:rPr>
                <w:rFonts w:hint="eastAsia" w:ascii="仿宋_GB2312" w:hAnsi="仿宋_GB2312" w:eastAsia="仿宋_GB2312" w:cs="仿宋_GB2312"/>
                <w:sz w:val="28"/>
                <w:szCs w:val="28"/>
                <w:highlight w:val="none"/>
                <w:lang w:val="en-US" w:eastAsia="zh-CN"/>
              </w:rPr>
              <w:t>4</w:t>
            </w:r>
          </w:p>
        </w:tc>
      </w:tr>
      <w:tr w14:paraId="511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34" w:type="pct"/>
            <w:vMerge w:val="restart"/>
            <w:vAlign w:val="center"/>
          </w:tcPr>
          <w:p w14:paraId="1AE81CEE">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lang w:val="en-US" w:eastAsia="zh-CN"/>
              </w:rPr>
              <w:t>9月23日</w:t>
            </w:r>
          </w:p>
        </w:tc>
        <w:tc>
          <w:tcPr>
            <w:tcW w:w="506" w:type="pct"/>
            <w:vAlign w:val="center"/>
          </w:tcPr>
          <w:p w14:paraId="7894B597">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上午</w:t>
            </w:r>
          </w:p>
        </w:tc>
        <w:tc>
          <w:tcPr>
            <w:tcW w:w="2450" w:type="pct"/>
            <w:vAlign w:val="center"/>
          </w:tcPr>
          <w:p w14:paraId="5D9CBAAA">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Calibri" w:eastAsia="仿宋_GB2312" w:cs="Times New Roman"/>
                <w:kern w:val="2"/>
                <w:sz w:val="24"/>
                <w:szCs w:val="24"/>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现场考察教学：颐和园</w:t>
            </w:r>
          </w:p>
        </w:tc>
        <w:tc>
          <w:tcPr>
            <w:tcW w:w="750" w:type="pct"/>
            <w:vAlign w:val="center"/>
          </w:tcPr>
          <w:p w14:paraId="56DA7834">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hAnsiTheme="minorHAnsi"/>
                <w:kern w:val="2"/>
                <w:sz w:val="24"/>
                <w:szCs w:val="22"/>
                <w:highlight w:val="none"/>
                <w:lang w:val="en-US" w:eastAsia="zh-CN" w:bidi="ar-SA"/>
              </w:rPr>
            </w:pPr>
            <w:r>
              <w:rPr>
                <w:rFonts w:hint="eastAsia" w:ascii="仿宋_GB2312" w:hAnsi="仿宋_GB2312" w:eastAsia="仿宋_GB2312" w:cs="仿宋_GB2312"/>
                <w:sz w:val="28"/>
                <w:szCs w:val="28"/>
                <w:highlight w:val="none"/>
              </w:rPr>
              <w:t>实操</w:t>
            </w:r>
          </w:p>
        </w:tc>
        <w:tc>
          <w:tcPr>
            <w:tcW w:w="558" w:type="pct"/>
            <w:vAlign w:val="center"/>
          </w:tcPr>
          <w:p w14:paraId="4B957D9D">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sz w:val="24"/>
                <w:highlight w:val="none"/>
                <w:lang w:val="en-US" w:eastAsia="zh-CN"/>
              </w:rPr>
            </w:pPr>
            <w:r>
              <w:rPr>
                <w:rFonts w:hint="eastAsia" w:ascii="仿宋_GB2312" w:hAnsi="仿宋_GB2312" w:eastAsia="仿宋_GB2312" w:cs="仿宋_GB2312"/>
                <w:sz w:val="28"/>
                <w:szCs w:val="28"/>
                <w:highlight w:val="none"/>
                <w:lang w:val="en-US" w:eastAsia="zh-CN"/>
              </w:rPr>
              <w:t>4</w:t>
            </w:r>
          </w:p>
        </w:tc>
      </w:tr>
      <w:tr w14:paraId="5AFC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34" w:type="pct"/>
            <w:vMerge w:val="continue"/>
            <w:vAlign w:val="center"/>
          </w:tcPr>
          <w:p w14:paraId="329FF30D">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p>
        </w:tc>
        <w:tc>
          <w:tcPr>
            <w:tcW w:w="506" w:type="pct"/>
            <w:vAlign w:val="center"/>
          </w:tcPr>
          <w:p w14:paraId="2CC40709">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kern w:val="2"/>
                <w:sz w:val="24"/>
                <w:szCs w:val="22"/>
                <w:lang w:val="en-US" w:eastAsia="zh-CN" w:bidi="ar-SA"/>
              </w:rPr>
            </w:pPr>
            <w:r>
              <w:rPr>
                <w:rFonts w:hint="eastAsia" w:ascii="仿宋_GB2312" w:hAnsi="仿宋_GB2312" w:eastAsia="仿宋_GB2312" w:cs="仿宋_GB2312"/>
                <w:sz w:val="28"/>
                <w:szCs w:val="28"/>
                <w:highlight w:val="none"/>
              </w:rPr>
              <w:t>下午</w:t>
            </w:r>
          </w:p>
        </w:tc>
        <w:tc>
          <w:tcPr>
            <w:tcW w:w="2450" w:type="pct"/>
            <w:vAlign w:val="center"/>
          </w:tcPr>
          <w:p w14:paraId="571721AC">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hAnsiTheme="minorHAnsi" w:cstheme="minorBidi"/>
                <w:kern w:val="2"/>
                <w:sz w:val="24"/>
                <w:szCs w:val="22"/>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现场考察教学：颐和园</w:t>
            </w:r>
          </w:p>
        </w:tc>
        <w:tc>
          <w:tcPr>
            <w:tcW w:w="750" w:type="pct"/>
            <w:vAlign w:val="center"/>
          </w:tcPr>
          <w:p w14:paraId="02B510A1">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cs="Times New Roman" w:hAnsiTheme="minorHAnsi"/>
                <w:kern w:val="2"/>
                <w:sz w:val="24"/>
                <w:szCs w:val="22"/>
                <w:highlight w:val="none"/>
                <w:lang w:val="en-US" w:eastAsia="zh-CN" w:bidi="ar-SA"/>
              </w:rPr>
            </w:pPr>
            <w:r>
              <w:rPr>
                <w:rFonts w:hint="eastAsia" w:ascii="仿宋_GB2312" w:hAnsi="仿宋_GB2312" w:eastAsia="仿宋_GB2312" w:cs="仿宋_GB2312"/>
                <w:sz w:val="28"/>
                <w:szCs w:val="28"/>
                <w:highlight w:val="none"/>
              </w:rPr>
              <w:t>实操</w:t>
            </w:r>
          </w:p>
        </w:tc>
        <w:tc>
          <w:tcPr>
            <w:tcW w:w="558" w:type="pct"/>
            <w:vAlign w:val="center"/>
          </w:tcPr>
          <w:p w14:paraId="0F72DFE7">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default" w:ascii="仿宋_GB2312" w:eastAsia="仿宋_GB2312" w:hAnsiTheme="minorHAnsi" w:cstheme="minorBidi"/>
                <w:kern w:val="2"/>
                <w:sz w:val="24"/>
                <w:szCs w:val="22"/>
                <w:highlight w:val="none"/>
                <w:lang w:val="en-US" w:eastAsia="zh-CN" w:bidi="ar-SA"/>
              </w:rPr>
            </w:pPr>
            <w:r>
              <w:rPr>
                <w:rFonts w:hint="eastAsia" w:ascii="仿宋_GB2312" w:hAnsi="仿宋_GB2312" w:eastAsia="仿宋_GB2312" w:cs="仿宋_GB2312"/>
                <w:sz w:val="28"/>
                <w:szCs w:val="28"/>
                <w:highlight w:val="none"/>
                <w:lang w:val="en-US" w:eastAsia="zh-CN"/>
              </w:rPr>
              <w:t>4</w:t>
            </w:r>
          </w:p>
        </w:tc>
      </w:tr>
      <w:tr w14:paraId="2EF2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restart"/>
            <w:vAlign w:val="center"/>
          </w:tcPr>
          <w:p w14:paraId="221F03CB">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lang w:val="en-US" w:eastAsia="zh-CN"/>
              </w:rPr>
              <w:t>9月24日</w:t>
            </w:r>
          </w:p>
        </w:tc>
        <w:tc>
          <w:tcPr>
            <w:tcW w:w="506" w:type="pct"/>
            <w:vAlign w:val="center"/>
          </w:tcPr>
          <w:p w14:paraId="36063D86">
            <w:pPr>
              <w:keepNext w:val="0"/>
              <w:keepLines w:val="0"/>
              <w:pageBreakBefore w:val="0"/>
              <w:widowControl/>
              <w:kinsoku/>
              <w:wordWrap/>
              <w:overflowPunct/>
              <w:topLinePunct w:val="0"/>
              <w:autoSpaceDE/>
              <w:autoSpaceDN/>
              <w:bidi w:val="0"/>
              <w:adjustRightInd/>
              <w:snapToGrid/>
              <w:spacing w:line="500" w:lineRule="exact"/>
              <w:ind w:left="0" w:leftChars="0" w:right="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rPr>
              <w:t>上午</w:t>
            </w:r>
          </w:p>
        </w:tc>
        <w:tc>
          <w:tcPr>
            <w:tcW w:w="2450" w:type="pct"/>
            <w:vAlign w:val="center"/>
          </w:tcPr>
          <w:p w14:paraId="5B8DA076">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heme="minorBidi"/>
                <w:kern w:val="2"/>
                <w:sz w:val="24"/>
                <w:szCs w:val="22"/>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现场参观：</w:t>
            </w:r>
            <w:r>
              <w:rPr>
                <w:rFonts w:hint="eastAsia" w:ascii="仿宋_GB2312" w:hAnsi="仿宋_GB2312" w:eastAsia="仿宋_GB2312" w:cs="仿宋_GB2312"/>
                <w:color w:val="000000"/>
                <w:kern w:val="0"/>
                <w:sz w:val="28"/>
                <w:szCs w:val="28"/>
                <w:highlight w:val="none"/>
                <w:lang w:val="en-US" w:eastAsia="zh-CN" w:bidi="ar"/>
              </w:rPr>
              <w:t>劳动人民文化宫</w:t>
            </w:r>
          </w:p>
        </w:tc>
        <w:tc>
          <w:tcPr>
            <w:tcW w:w="750" w:type="pct"/>
            <w:vAlign w:val="center"/>
          </w:tcPr>
          <w:p w14:paraId="200E9B07">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heme="minorBidi"/>
                <w:kern w:val="2"/>
                <w:sz w:val="24"/>
                <w:szCs w:val="22"/>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实操</w:t>
            </w:r>
          </w:p>
        </w:tc>
        <w:tc>
          <w:tcPr>
            <w:tcW w:w="558" w:type="pct"/>
            <w:vAlign w:val="center"/>
          </w:tcPr>
          <w:p w14:paraId="1D95FF8A">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sz w:val="24"/>
                <w:highlight w:val="none"/>
                <w:lang w:val="en-US" w:eastAsia="zh-CN"/>
              </w:rPr>
            </w:pPr>
            <w:r>
              <w:rPr>
                <w:rFonts w:hint="eastAsia" w:ascii="仿宋_GB2312" w:hAnsi="仿宋_GB2312" w:eastAsia="仿宋_GB2312" w:cs="仿宋_GB2312"/>
                <w:sz w:val="28"/>
                <w:szCs w:val="28"/>
                <w:highlight w:val="none"/>
                <w:lang w:val="en-US" w:eastAsia="zh-CN"/>
              </w:rPr>
              <w:t>4</w:t>
            </w:r>
          </w:p>
        </w:tc>
      </w:tr>
      <w:tr w14:paraId="3DED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pct"/>
            <w:vMerge w:val="continue"/>
            <w:vAlign w:val="center"/>
          </w:tcPr>
          <w:p w14:paraId="756DD08C">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p>
        </w:tc>
        <w:tc>
          <w:tcPr>
            <w:tcW w:w="506" w:type="pct"/>
            <w:vAlign w:val="center"/>
          </w:tcPr>
          <w:p w14:paraId="00EBD8A3">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hAnsi="宋体" w:eastAsia="仿宋_GB2312" w:cs="宋体"/>
                <w:sz w:val="24"/>
                <w:lang w:val="en-US" w:eastAsia="zh-CN"/>
              </w:rPr>
            </w:pPr>
            <w:r>
              <w:rPr>
                <w:rFonts w:hint="eastAsia" w:ascii="仿宋_GB2312" w:hAnsi="仿宋_GB2312" w:eastAsia="仿宋_GB2312" w:cs="仿宋_GB2312"/>
                <w:sz w:val="28"/>
                <w:szCs w:val="28"/>
                <w:highlight w:val="none"/>
              </w:rPr>
              <w:t>下午</w:t>
            </w:r>
          </w:p>
        </w:tc>
        <w:tc>
          <w:tcPr>
            <w:tcW w:w="2450" w:type="pct"/>
            <w:vAlign w:val="center"/>
          </w:tcPr>
          <w:p w14:paraId="4E7D6E16">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heme="minorBidi"/>
                <w:kern w:val="2"/>
                <w:sz w:val="24"/>
                <w:szCs w:val="22"/>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
              </w:rPr>
              <w:t>交流+结业考试</w:t>
            </w:r>
          </w:p>
        </w:tc>
        <w:tc>
          <w:tcPr>
            <w:tcW w:w="750" w:type="pct"/>
            <w:vAlign w:val="center"/>
          </w:tcPr>
          <w:p w14:paraId="5E40C58C">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cstheme="minorBidi"/>
                <w:kern w:val="2"/>
                <w:sz w:val="24"/>
                <w:szCs w:val="22"/>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实操</w:t>
            </w:r>
          </w:p>
        </w:tc>
        <w:tc>
          <w:tcPr>
            <w:tcW w:w="558" w:type="pct"/>
            <w:vAlign w:val="center"/>
          </w:tcPr>
          <w:p w14:paraId="6DC4E380">
            <w:pPr>
              <w:keepNext w:val="0"/>
              <w:keepLines w:val="0"/>
              <w:pageBreakBefore w:val="0"/>
              <w:widowControl/>
              <w:kinsoku/>
              <w:wordWrap/>
              <w:overflowPunct/>
              <w:topLinePunct w:val="0"/>
              <w:autoSpaceDE/>
              <w:autoSpaceDN/>
              <w:bidi w:val="0"/>
              <w:adjustRightInd/>
              <w:snapToGrid/>
              <w:spacing w:line="500" w:lineRule="exact"/>
              <w:ind w:left="0" w:leftChars="0" w:right="0" w:rightChars="0"/>
              <w:jc w:val="center"/>
              <w:textAlignment w:val="center"/>
              <w:rPr>
                <w:rFonts w:hint="eastAsia" w:ascii="仿宋_GB2312" w:eastAsia="仿宋_GB2312"/>
                <w:sz w:val="24"/>
                <w:highlight w:val="none"/>
                <w:lang w:val="en-US" w:eastAsia="zh-CN"/>
              </w:rPr>
            </w:pPr>
            <w:r>
              <w:rPr>
                <w:rFonts w:hint="eastAsia" w:ascii="仿宋_GB2312" w:hAnsi="仿宋_GB2312" w:eastAsia="仿宋_GB2312" w:cs="仿宋_GB2312"/>
                <w:sz w:val="28"/>
                <w:szCs w:val="28"/>
                <w:highlight w:val="none"/>
                <w:lang w:val="en-US" w:eastAsia="zh-CN"/>
              </w:rPr>
              <w:t>4</w:t>
            </w:r>
          </w:p>
        </w:tc>
      </w:tr>
    </w:tbl>
    <w:p w14:paraId="136783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五、培训地点</w:t>
      </w:r>
    </w:p>
    <w:p w14:paraId="3280BA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北京市丰台区草桥欣园四区22号楼奥运花卉配送中心。</w:t>
      </w:r>
    </w:p>
    <w:p w14:paraId="4D9314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六、主要授课教师</w:t>
      </w:r>
    </w:p>
    <w:p w14:paraId="6B8A0E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1.周晓杰，北京京彩弘景生态建设有限公司副总经理，</w:t>
      </w:r>
      <w:r>
        <w:rPr>
          <w:rFonts w:hint="eastAsia" w:ascii="仿宋_GB2312" w:hAnsi="仿宋_GB2312" w:eastAsia="仿宋_GB2312" w:cs="仿宋_GB2312"/>
          <w:kern w:val="2"/>
          <w:sz w:val="32"/>
          <w:szCs w:val="32"/>
          <w:highlight w:val="none"/>
          <w:lang w:val="en-US" w:eastAsia="zh-CN" w:bidi="ar-SA"/>
        </w:rPr>
        <w:t>林木种苗工高级技师，高级工程师，北京市第四届职业技能大赛“林木种苗工”冠军，曾获第二届北京大工匠、首都劳动奖章</w:t>
      </w:r>
      <w:r>
        <w:rPr>
          <w:rFonts w:hint="eastAsia" w:ascii="仿宋_GB2312" w:hAnsi="仿宋_GB2312" w:eastAsia="仿宋_GB2312" w:cs="仿宋_GB2312"/>
          <w:sz w:val="32"/>
          <w:szCs w:val="32"/>
          <w:highlight w:val="none"/>
          <w:lang w:val="en-US" w:eastAsia="zh-CN"/>
        </w:rPr>
        <w:t>等荣誉称号</w:t>
      </w:r>
      <w:r>
        <w:rPr>
          <w:rFonts w:hint="eastAsia" w:ascii="仿宋_GB2312" w:hAnsi="仿宋_GB2312" w:eastAsia="仿宋_GB2312" w:cs="仿宋_GB2312"/>
          <w:kern w:val="2"/>
          <w:sz w:val="32"/>
          <w:szCs w:val="32"/>
          <w:highlight w:val="none"/>
          <w:lang w:val="en-US" w:eastAsia="zh-CN" w:bidi="ar-SA"/>
        </w:rPr>
        <w:t>。</w:t>
      </w:r>
    </w:p>
    <w:p w14:paraId="3A4CE1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2.王枫</w:t>
      </w:r>
      <w:r>
        <w:rPr>
          <w:rFonts w:hint="eastAsia" w:ascii="仿宋_GB2312" w:hAnsi="仿宋_GB2312" w:eastAsia="仿宋_GB2312" w:cs="仿宋_GB2312"/>
          <w:sz w:val="32"/>
          <w:szCs w:val="32"/>
          <w:highlight w:val="none"/>
          <w:lang w:val="en-US" w:eastAsia="zh-CN"/>
        </w:rPr>
        <w:t>，国家林草局生态中心三级调研员，高级工程师，兼任中国林学会古树名木分会副理事长、秘书长。参与《古树名木保护条例》《古树名木移植审批行政许可事项实施规范》等起草工作，发表论文40多篇，副主编著作7部。</w:t>
      </w:r>
    </w:p>
    <w:p w14:paraId="39F310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3.丛日晨</w:t>
      </w:r>
      <w:r>
        <w:rPr>
          <w:rFonts w:hint="eastAsia" w:ascii="仿宋_GB2312" w:hAnsi="仿宋_GB2312" w:eastAsia="仿宋_GB2312" w:cs="仿宋_GB2312"/>
          <w:sz w:val="32"/>
          <w:szCs w:val="32"/>
          <w:highlight w:val="none"/>
          <w:lang w:val="en-US" w:eastAsia="zh-CN"/>
        </w:rPr>
        <w:t>，原北京市园林绿化科学研究院首席科学家，教授级高级工程师，全国古树创新联盟专家组组长，出版《树木医生手册》《古树养护与复壮》《园林绿化工职业教程》等著作4部，享受国务院政府特殊津贴。</w:t>
      </w:r>
    </w:p>
    <w:p w14:paraId="0E85021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4.章银柯，杭州植物园（杭州西湖园林科学研究院）副园长（副院长），正高级工程师。长期从事古树保护研究，出版著作3部，发表论文20余篇</w:t>
      </w:r>
      <w:r>
        <w:rPr>
          <w:rFonts w:hint="eastAsia" w:ascii="仿宋_GB2312" w:hAnsi="仿宋_GB2312" w:eastAsia="仿宋_GB2312" w:cs="仿宋_GB2312"/>
          <w:sz w:val="32"/>
          <w:szCs w:val="32"/>
          <w:highlight w:val="none"/>
          <w:lang w:val="en-US" w:eastAsia="zh-CN"/>
        </w:rPr>
        <w:t>。</w:t>
      </w:r>
    </w:p>
    <w:p w14:paraId="3984E7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w:t>
      </w:r>
      <w:bookmarkStart w:id="0" w:name="OLE_LINK1"/>
      <w:r>
        <w:rPr>
          <w:rFonts w:hint="eastAsia" w:ascii="仿宋_GB2312" w:hAnsi="仿宋_GB2312" w:eastAsia="仿宋_GB2312" w:cs="仿宋_GB2312"/>
          <w:b w:val="0"/>
          <w:bCs w:val="0"/>
          <w:sz w:val="32"/>
          <w:szCs w:val="32"/>
          <w:highlight w:val="none"/>
          <w:lang w:val="en-US" w:eastAsia="zh-CN"/>
        </w:rPr>
        <w:t>曲宏</w:t>
      </w:r>
      <w:bookmarkEnd w:id="0"/>
      <w:r>
        <w:rPr>
          <w:rFonts w:hint="eastAsia" w:ascii="仿宋_GB2312" w:hAnsi="仿宋_GB2312" w:eastAsia="仿宋_GB2312" w:cs="仿宋_GB2312"/>
          <w:sz w:val="32"/>
          <w:szCs w:val="32"/>
          <w:highlight w:val="none"/>
          <w:lang w:val="en-US" w:eastAsia="zh-CN"/>
        </w:rPr>
        <w:t>，首都绿化委员会义务植树处一级调研员，长期从事首都园林绿化管理工作，擅长古树名木保护与生境综合治理、全民义务植树创新管理、自然保护地建设等领域。</w:t>
      </w:r>
    </w:p>
    <w:p w14:paraId="05C18910">
      <w:pPr>
        <w:keepNext w:val="0"/>
        <w:keepLines w:val="0"/>
        <w:pageBreakBefore w:val="0"/>
        <w:numPr>
          <w:ilvl w:val="0"/>
          <w:numId w:val="0"/>
        </w:numPr>
        <w:kinsoku/>
        <w:wordWrap/>
        <w:overflowPunct w:val="0"/>
        <w:topLinePunct w:val="0"/>
        <w:autoSpaceDE/>
        <w:autoSpaceDN/>
        <w:bidi w:val="0"/>
        <w:adjustRightInd/>
        <w:spacing w:line="560" w:lineRule="exact"/>
        <w:ind w:left="0" w:leftChars="0" w:right="0" w:firstLine="640" w:firstLineChars="200"/>
        <w:jc w:val="left"/>
        <w:rPr>
          <w:rFonts w:hint="eastAsia"/>
          <w:lang w:val="en-US" w:eastAsia="zh-CN"/>
        </w:rPr>
      </w:pPr>
      <w:r>
        <w:rPr>
          <w:rFonts w:hint="eastAsia" w:ascii="仿宋_GB2312" w:hAnsi="仿宋_GB2312" w:eastAsia="仿宋_GB2312" w:cs="仿宋_GB2312"/>
          <w:b w:val="0"/>
          <w:bCs w:val="0"/>
          <w:kern w:val="2"/>
          <w:sz w:val="32"/>
          <w:szCs w:val="32"/>
          <w:highlight w:val="none"/>
          <w:lang w:val="en-US" w:eastAsia="zh-CN" w:bidi="ar-SA"/>
        </w:rPr>
        <w:t>6.弓清秀，原北京市园林绿化科学研究院园林科技培训中心主任，正高级工程师。长期从事园林绿化专业技术和管理人员培训等工作。</w:t>
      </w:r>
    </w:p>
    <w:p w14:paraId="56DE653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eastAsia" w:ascii="仿宋_GB2312" w:hAnsi="仿宋_GB2312" w:eastAsia="仿宋_GB2312" w:cs="仿宋_GB2312"/>
          <w:i w:val="0"/>
          <w:iCs w:val="0"/>
          <w:caps w:val="0"/>
          <w:color w:val="333333"/>
          <w:spacing w:val="0"/>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w:t>
      </w:r>
      <w:r>
        <w:rPr>
          <w:rFonts w:hint="eastAsia" w:ascii="黑体" w:hAnsi="黑体" w:eastAsia="黑体"/>
          <w:sz w:val="32"/>
          <w:szCs w:val="32"/>
          <w:highlight w:val="none"/>
          <w:lang w:eastAsia="zh-CN"/>
        </w:rPr>
        <w:t>考核评价</w:t>
      </w:r>
    </w:p>
    <w:p w14:paraId="219593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本次培训考核分为考勤考核与结业综合考核两部分，全面检验学员学习成效与综合素养。</w:t>
      </w:r>
    </w:p>
    <w:p w14:paraId="71CA36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（一）考勤考核</w:t>
      </w:r>
    </w:p>
    <w:p w14:paraId="29688C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学员出勤占比达到80%及以上，视为考勤考核合格。</w:t>
      </w:r>
    </w:p>
    <w:p w14:paraId="37ED40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（二）结业综合考核</w:t>
      </w:r>
    </w:p>
    <w:p w14:paraId="73534971">
      <w:pPr>
        <w:pStyle w:val="2"/>
        <w:numPr>
          <w:ilvl w:val="-1"/>
          <w:numId w:val="0"/>
        </w:numPr>
        <w:spacing w:before="0" w:after="0" w:line="560" w:lineRule="exact"/>
        <w:ind w:firstLine="640" w:firstLineChars="200"/>
        <w:rPr>
          <w:rFonts w:hint="eastAsia"/>
          <w:b w:val="0"/>
          <w:bCs/>
          <w:lang w:val="en-US" w:eastAsia="zh-CN"/>
        </w:rPr>
      </w:pPr>
      <w:r>
        <w:rPr>
          <w:rFonts w:hint="eastAsia" w:ascii="仿宋_GB2312" w:hAnsi="仿宋_GB2312" w:eastAsia="仿宋_GB2312" w:cs="仿宋_GB2312"/>
          <w:b w:val="0"/>
          <w:bCs/>
          <w:lang w:val="en-US" w:eastAsia="zh-CN"/>
        </w:rPr>
        <w:t>结业综合考核总成绩由理论考核成绩和实践考核成绩加权组成，单项满分均为100分，总成绩达到80分及以上者，评定为综合考核合格。</w:t>
      </w:r>
    </w:p>
    <w:p w14:paraId="2D6EC105">
      <w:pPr>
        <w:pageBreakBefore w:val="0"/>
        <w:wordWrap/>
        <w:overflowPunct w:val="0"/>
        <w:topLinePunct w:val="0"/>
        <w:bidi w:val="0"/>
        <w:spacing w:line="560" w:lineRule="exact"/>
        <w:ind w:left="0" w:leftChars="0" w:right="0" w:firstLine="640" w:firstLineChars="200"/>
        <w:jc w:val="left"/>
        <w:rPr>
          <w:rFonts w:hint="eastAsia" w:ascii="仿宋_GB2312" w:hAnsi="仿宋_GB2312" w:eastAsia="仿宋_GB2312" w:cs="仿宋_GB2312"/>
          <w:b w:val="0"/>
          <w:bCs w:val="0"/>
          <w:color w:val="000000"/>
          <w:kern w:val="0"/>
          <w:sz w:val="32"/>
          <w:szCs w:val="32"/>
          <w:highlight w:val="none"/>
          <w:lang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1.</w:t>
      </w:r>
      <w:r>
        <w:rPr>
          <w:rFonts w:hint="eastAsia" w:ascii="仿宋_GB2312" w:hAnsi="仿宋_GB2312" w:eastAsia="仿宋_GB2312" w:cs="仿宋_GB2312"/>
          <w:b w:val="0"/>
          <w:bCs w:val="0"/>
          <w:color w:val="000000"/>
          <w:kern w:val="0"/>
          <w:sz w:val="32"/>
          <w:szCs w:val="32"/>
          <w:highlight w:val="none"/>
          <w:lang w:bidi="ar"/>
        </w:rPr>
        <w:t>理论考核</w:t>
      </w:r>
      <w:r>
        <w:rPr>
          <w:rFonts w:hint="eastAsia" w:ascii="仿宋_GB2312" w:hAnsi="仿宋_GB2312" w:eastAsia="仿宋_GB2312" w:cs="仿宋_GB2312"/>
          <w:b w:val="0"/>
          <w:bCs w:val="0"/>
          <w:color w:val="000000"/>
          <w:kern w:val="0"/>
          <w:sz w:val="32"/>
          <w:szCs w:val="32"/>
          <w:highlight w:val="none"/>
          <w:lang w:eastAsia="zh-CN" w:bidi="ar"/>
        </w:rPr>
        <w:t>（</w:t>
      </w:r>
      <w:r>
        <w:rPr>
          <w:rFonts w:hint="eastAsia" w:ascii="仿宋_GB2312" w:hAnsi="仿宋_GB2312" w:eastAsia="仿宋_GB2312" w:cs="仿宋_GB2312"/>
          <w:b w:val="0"/>
          <w:bCs w:val="0"/>
          <w:color w:val="000000"/>
          <w:kern w:val="0"/>
          <w:sz w:val="32"/>
          <w:szCs w:val="32"/>
          <w:highlight w:val="none"/>
          <w:lang w:bidi="ar"/>
        </w:rPr>
        <w:t>占</w:t>
      </w:r>
      <w:r>
        <w:rPr>
          <w:rFonts w:hint="eastAsia" w:ascii="仿宋_GB2312" w:hAnsi="仿宋_GB2312" w:eastAsia="仿宋_GB2312" w:cs="仿宋_GB2312"/>
          <w:b w:val="0"/>
          <w:bCs w:val="0"/>
          <w:color w:val="000000"/>
          <w:kern w:val="0"/>
          <w:sz w:val="32"/>
          <w:szCs w:val="32"/>
          <w:highlight w:val="none"/>
          <w:lang w:eastAsia="zh-CN" w:bidi="ar"/>
        </w:rPr>
        <w:t>综合考核</w:t>
      </w:r>
      <w:r>
        <w:rPr>
          <w:rFonts w:hint="eastAsia" w:ascii="仿宋_GB2312" w:hAnsi="仿宋_GB2312" w:eastAsia="仿宋_GB2312" w:cs="仿宋_GB2312"/>
          <w:b w:val="0"/>
          <w:bCs w:val="0"/>
          <w:color w:val="000000"/>
          <w:kern w:val="0"/>
          <w:sz w:val="32"/>
          <w:szCs w:val="32"/>
          <w:highlight w:val="none"/>
          <w:lang w:bidi="ar"/>
        </w:rPr>
        <w:t>总成绩</w:t>
      </w:r>
      <w:r>
        <w:rPr>
          <w:rFonts w:hint="eastAsia" w:ascii="仿宋_GB2312" w:hAnsi="仿宋_GB2312" w:eastAsia="仿宋_GB2312" w:cs="仿宋_GB2312"/>
          <w:b w:val="0"/>
          <w:bCs w:val="0"/>
          <w:color w:val="000000"/>
          <w:kern w:val="0"/>
          <w:sz w:val="32"/>
          <w:szCs w:val="32"/>
          <w:highlight w:val="none"/>
          <w:lang w:val="en-US" w:eastAsia="zh-CN" w:bidi="ar"/>
        </w:rPr>
        <w:t>5</w:t>
      </w:r>
      <w:r>
        <w:rPr>
          <w:rFonts w:hint="eastAsia" w:ascii="仿宋_GB2312" w:hAnsi="仿宋_GB2312" w:eastAsia="仿宋_GB2312" w:cs="仿宋_GB2312"/>
          <w:b w:val="0"/>
          <w:bCs w:val="0"/>
          <w:color w:val="000000"/>
          <w:kern w:val="0"/>
          <w:sz w:val="32"/>
          <w:szCs w:val="32"/>
          <w:highlight w:val="none"/>
          <w:lang w:bidi="ar"/>
        </w:rPr>
        <w:t>0%</w:t>
      </w:r>
      <w:r>
        <w:rPr>
          <w:rFonts w:hint="eastAsia" w:ascii="仿宋_GB2312" w:hAnsi="仿宋_GB2312" w:eastAsia="仿宋_GB2312" w:cs="仿宋_GB2312"/>
          <w:b w:val="0"/>
          <w:bCs w:val="0"/>
          <w:color w:val="000000"/>
          <w:kern w:val="0"/>
          <w:sz w:val="32"/>
          <w:szCs w:val="32"/>
          <w:highlight w:val="none"/>
          <w:lang w:eastAsia="zh-CN" w:bidi="ar"/>
        </w:rPr>
        <w:t>）</w:t>
      </w:r>
    </w:p>
    <w:p w14:paraId="72D27210">
      <w:pPr>
        <w:pageBreakBefore w:val="0"/>
        <w:wordWrap/>
        <w:overflowPunct w:val="0"/>
        <w:topLinePunct w:val="0"/>
        <w:bidi w:val="0"/>
        <w:spacing w:line="560" w:lineRule="exact"/>
        <w:ind w:left="0" w:leftChars="0" w:right="0" w:firstLine="640" w:firstLineChars="200"/>
        <w:jc w:val="left"/>
        <w:rPr>
          <w:rFonts w:hint="eastAsia" w:ascii="仿宋_GB2312" w:hAnsi="仿宋_GB2312" w:eastAsia="仿宋_GB2312" w:cs="仿宋_GB2312"/>
          <w:b w:val="0"/>
          <w:bCs w:val="0"/>
          <w:color w:val="000000"/>
          <w:kern w:val="0"/>
          <w:sz w:val="32"/>
          <w:szCs w:val="32"/>
          <w:highlight w:val="none"/>
          <w:lang w:bidi="ar"/>
        </w:rPr>
      </w:pPr>
      <w:r>
        <w:rPr>
          <w:rFonts w:hint="eastAsia" w:ascii="仿宋_GB2312" w:hAnsi="仿宋_GB2312" w:eastAsia="仿宋_GB2312" w:cs="仿宋_GB2312"/>
          <w:b w:val="0"/>
          <w:bCs w:val="0"/>
          <w:color w:val="000000"/>
          <w:kern w:val="0"/>
          <w:sz w:val="32"/>
          <w:szCs w:val="32"/>
          <w:highlight w:val="none"/>
          <w:lang w:bidi="ar"/>
        </w:rPr>
        <w:t>通过闭卷考试</w:t>
      </w:r>
      <w:r>
        <w:rPr>
          <w:rFonts w:hint="eastAsia" w:ascii="仿宋_GB2312" w:hAnsi="仿宋_GB2312" w:eastAsia="仿宋_GB2312" w:cs="仿宋_GB2312"/>
          <w:b w:val="0"/>
          <w:bCs w:val="0"/>
          <w:color w:val="000000"/>
          <w:kern w:val="0"/>
          <w:sz w:val="32"/>
          <w:szCs w:val="32"/>
          <w:highlight w:val="none"/>
          <w:lang w:eastAsia="zh-CN" w:bidi="ar"/>
        </w:rPr>
        <w:t>的形式</w:t>
      </w:r>
      <w:r>
        <w:rPr>
          <w:rFonts w:hint="eastAsia" w:ascii="仿宋_GB2312" w:hAnsi="仿宋_GB2312" w:eastAsia="仿宋_GB2312" w:cs="仿宋_GB2312"/>
          <w:b w:val="0"/>
          <w:bCs w:val="0"/>
          <w:color w:val="000000"/>
          <w:kern w:val="0"/>
          <w:sz w:val="32"/>
          <w:szCs w:val="32"/>
          <w:highlight w:val="none"/>
          <w:lang w:bidi="ar"/>
        </w:rPr>
        <w:t>，主要考查学员对“三个精神”内涵、《古树名木保护条例》条款及古树名木保护专业理论知识的掌握程度。</w:t>
      </w:r>
    </w:p>
    <w:p w14:paraId="2E8FD9DA">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kern w:val="0"/>
          <w:sz w:val="32"/>
          <w:szCs w:val="32"/>
          <w:highlight w:val="none"/>
          <w:lang w:eastAsia="zh-CN" w:bidi="ar"/>
        </w:rPr>
      </w:pPr>
      <w:r>
        <w:rPr>
          <w:rFonts w:hint="eastAsia" w:ascii="仿宋_GB2312" w:hAnsi="仿宋_GB2312" w:eastAsia="仿宋_GB2312" w:cs="仿宋_GB2312"/>
          <w:b w:val="0"/>
          <w:bCs w:val="0"/>
          <w:color w:val="000000"/>
          <w:kern w:val="0"/>
          <w:sz w:val="32"/>
          <w:szCs w:val="32"/>
          <w:highlight w:val="none"/>
          <w:lang w:bidi="ar"/>
        </w:rPr>
        <w:t>2</w:t>
      </w:r>
      <w:r>
        <w:rPr>
          <w:rFonts w:hint="eastAsia" w:ascii="仿宋_GB2312" w:hAnsi="仿宋_GB2312" w:eastAsia="仿宋_GB2312" w:cs="仿宋_GB2312"/>
          <w:b w:val="0"/>
          <w:bCs w:val="0"/>
          <w:color w:val="000000"/>
          <w:kern w:val="0"/>
          <w:sz w:val="32"/>
          <w:szCs w:val="32"/>
          <w:highlight w:val="none"/>
          <w:lang w:eastAsia="zh-CN" w:bidi="ar"/>
        </w:rPr>
        <w:t>.</w:t>
      </w:r>
      <w:r>
        <w:rPr>
          <w:rFonts w:hint="eastAsia" w:ascii="仿宋_GB2312" w:hAnsi="仿宋_GB2312" w:eastAsia="仿宋_GB2312" w:cs="仿宋_GB2312"/>
          <w:b w:val="0"/>
          <w:bCs w:val="0"/>
          <w:color w:val="000000"/>
          <w:kern w:val="0"/>
          <w:sz w:val="32"/>
          <w:szCs w:val="32"/>
          <w:highlight w:val="none"/>
          <w:lang w:bidi="ar"/>
        </w:rPr>
        <w:t>实践考核</w:t>
      </w:r>
      <w:r>
        <w:rPr>
          <w:rFonts w:hint="eastAsia" w:ascii="仿宋_GB2312" w:hAnsi="仿宋_GB2312" w:eastAsia="仿宋_GB2312" w:cs="仿宋_GB2312"/>
          <w:b w:val="0"/>
          <w:bCs w:val="0"/>
          <w:color w:val="000000"/>
          <w:kern w:val="0"/>
          <w:sz w:val="32"/>
          <w:szCs w:val="32"/>
          <w:highlight w:val="none"/>
          <w:lang w:eastAsia="zh-CN" w:bidi="ar"/>
        </w:rPr>
        <w:t>（</w:t>
      </w:r>
      <w:r>
        <w:rPr>
          <w:rFonts w:hint="eastAsia" w:ascii="仿宋_GB2312" w:hAnsi="仿宋_GB2312" w:eastAsia="仿宋_GB2312" w:cs="仿宋_GB2312"/>
          <w:b w:val="0"/>
          <w:bCs w:val="0"/>
          <w:color w:val="000000"/>
          <w:kern w:val="0"/>
          <w:sz w:val="32"/>
          <w:szCs w:val="32"/>
          <w:highlight w:val="none"/>
          <w:lang w:bidi="ar"/>
        </w:rPr>
        <w:t>占</w:t>
      </w:r>
      <w:r>
        <w:rPr>
          <w:rFonts w:hint="eastAsia" w:ascii="仿宋_GB2312" w:hAnsi="仿宋_GB2312" w:eastAsia="仿宋_GB2312" w:cs="仿宋_GB2312"/>
          <w:b w:val="0"/>
          <w:bCs w:val="0"/>
          <w:color w:val="000000"/>
          <w:kern w:val="0"/>
          <w:sz w:val="32"/>
          <w:szCs w:val="32"/>
          <w:highlight w:val="none"/>
          <w:lang w:eastAsia="zh-CN" w:bidi="ar"/>
        </w:rPr>
        <w:t>综合考核</w:t>
      </w:r>
      <w:r>
        <w:rPr>
          <w:rFonts w:hint="eastAsia" w:ascii="仿宋_GB2312" w:hAnsi="仿宋_GB2312" w:eastAsia="仿宋_GB2312" w:cs="仿宋_GB2312"/>
          <w:b w:val="0"/>
          <w:bCs w:val="0"/>
          <w:color w:val="000000"/>
          <w:kern w:val="0"/>
          <w:sz w:val="32"/>
          <w:szCs w:val="32"/>
          <w:highlight w:val="none"/>
          <w:lang w:bidi="ar"/>
        </w:rPr>
        <w:t>总成绩</w:t>
      </w:r>
      <w:r>
        <w:rPr>
          <w:rFonts w:hint="eastAsia" w:ascii="仿宋_GB2312" w:hAnsi="仿宋_GB2312" w:eastAsia="仿宋_GB2312" w:cs="仿宋_GB2312"/>
          <w:b w:val="0"/>
          <w:bCs w:val="0"/>
          <w:color w:val="000000"/>
          <w:kern w:val="0"/>
          <w:sz w:val="32"/>
          <w:szCs w:val="32"/>
          <w:highlight w:val="none"/>
          <w:lang w:val="en-US" w:eastAsia="zh-CN" w:bidi="ar"/>
        </w:rPr>
        <w:t>5</w:t>
      </w:r>
      <w:r>
        <w:rPr>
          <w:rFonts w:hint="eastAsia" w:ascii="仿宋_GB2312" w:hAnsi="仿宋_GB2312" w:eastAsia="仿宋_GB2312" w:cs="仿宋_GB2312"/>
          <w:b w:val="0"/>
          <w:bCs w:val="0"/>
          <w:color w:val="000000"/>
          <w:kern w:val="0"/>
          <w:sz w:val="32"/>
          <w:szCs w:val="32"/>
          <w:highlight w:val="none"/>
          <w:lang w:bidi="ar"/>
        </w:rPr>
        <w:t>0%</w:t>
      </w:r>
      <w:r>
        <w:rPr>
          <w:rFonts w:hint="eastAsia" w:ascii="仿宋_GB2312" w:hAnsi="仿宋_GB2312" w:eastAsia="仿宋_GB2312" w:cs="仿宋_GB2312"/>
          <w:b w:val="0"/>
          <w:bCs w:val="0"/>
          <w:color w:val="000000"/>
          <w:kern w:val="0"/>
          <w:sz w:val="32"/>
          <w:szCs w:val="32"/>
          <w:highlight w:val="none"/>
          <w:lang w:eastAsia="zh-CN" w:bidi="ar"/>
        </w:rPr>
        <w:t>）</w:t>
      </w:r>
    </w:p>
    <w:p w14:paraId="3E9A4E73">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kern w:val="0"/>
          <w:sz w:val="32"/>
          <w:szCs w:val="32"/>
          <w:highlight w:val="none"/>
          <w:lang w:eastAsia="zh-CN" w:bidi="ar"/>
        </w:rPr>
      </w:pPr>
      <w:r>
        <w:rPr>
          <w:rFonts w:hint="eastAsia" w:ascii="仿宋_GB2312" w:hAnsi="仿宋_GB2312" w:eastAsia="仿宋_GB2312" w:cs="仿宋_GB2312"/>
          <w:b w:val="0"/>
          <w:bCs w:val="0"/>
          <w:color w:val="000000"/>
          <w:kern w:val="0"/>
          <w:sz w:val="32"/>
          <w:szCs w:val="32"/>
          <w:highlight w:val="none"/>
          <w:lang w:eastAsia="zh-CN" w:bidi="ar"/>
        </w:rPr>
        <w:t>在实践操作课程与实地参观教学过程中，由授课教师及考评人员对学员的仪器操作规范度、技术应用熟练度及现场问题解决能力等进行综合评分。</w:t>
      </w:r>
    </w:p>
    <w:p w14:paraId="3242CF1F">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考勤考核与综合考核均合格者，</w:t>
      </w:r>
      <w:r>
        <w:rPr>
          <w:rFonts w:hint="eastAsia" w:ascii="仿宋_GB2312" w:hAnsi="仿宋_GB2312" w:eastAsia="仿宋_GB2312" w:cs="仿宋_GB2312"/>
          <w:sz w:val="32"/>
          <w:szCs w:val="32"/>
          <w:lang w:eastAsia="zh-CN"/>
        </w:rPr>
        <w:t>将获得培训</w:t>
      </w:r>
      <w:r>
        <w:rPr>
          <w:rFonts w:hint="eastAsia" w:ascii="仿宋_GB2312" w:hAnsi="仿宋_GB2312" w:eastAsia="仿宋_GB2312" w:cs="仿宋_GB2312"/>
          <w:sz w:val="32"/>
          <w:szCs w:val="32"/>
        </w:rPr>
        <w:t>结业证书，并纳入北京市总工会技能人才库，</w:t>
      </w:r>
      <w:r>
        <w:rPr>
          <w:rFonts w:hint="eastAsia" w:ascii="仿宋_GB2312" w:hAnsi="仿宋_GB2312" w:eastAsia="仿宋_GB2312" w:cs="仿宋_GB2312"/>
          <w:sz w:val="32"/>
          <w:szCs w:val="32"/>
          <w:lang w:eastAsia="zh-CN"/>
        </w:rPr>
        <w:t>未来</w:t>
      </w:r>
      <w:r>
        <w:rPr>
          <w:rFonts w:hint="eastAsia" w:ascii="仿宋_GB2312" w:hAnsi="仿宋_GB2312" w:eastAsia="仿宋_GB2312" w:cs="仿宋_GB2312"/>
          <w:sz w:val="32"/>
          <w:szCs w:val="32"/>
        </w:rPr>
        <w:t>可优先参加首都工匠学院举办的各类技术技能提升培训活动。</w:t>
      </w:r>
    </w:p>
    <w:p w14:paraId="0CD8224F">
      <w:pPr>
        <w:pStyle w:val="12"/>
        <w:spacing w:line="560" w:lineRule="exact"/>
        <w:ind w:firstLine="640"/>
        <w:jc w:val="left"/>
        <w:rPr>
          <w:rFonts w:hint="eastAsia"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、注意事项</w:t>
      </w:r>
    </w:p>
    <w:p w14:paraId="2EE8A00D">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1.每个单位限推荐1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名符合条件人员参加</w:t>
      </w:r>
      <w:r>
        <w:rPr>
          <w:rFonts w:hint="eastAsia" w:ascii="仿宋_GB2312" w:hAnsi="仿宋_GB2312" w:eastAsia="仿宋_GB2312" w:cs="仿宋_GB2312"/>
          <w:sz w:val="32"/>
          <w:szCs w:val="32"/>
          <w:lang w:val="en-US" w:eastAsia="zh-CN"/>
        </w:rPr>
        <w:t>培训</w:t>
      </w:r>
      <w:r>
        <w:rPr>
          <w:rFonts w:hint="eastAsia" w:ascii="仿宋_GB2312" w:hAnsi="仿宋_GB2312" w:eastAsia="仿宋_GB2312" w:cs="仿宋_GB2312"/>
          <w:sz w:val="32"/>
          <w:szCs w:val="32"/>
        </w:rPr>
        <w:t>，并于202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日前，</w:t>
      </w:r>
      <w:r>
        <w:rPr>
          <w:rFonts w:hint="eastAsia" w:ascii="仿宋_GB2312" w:hAnsi="仿宋_GB2312" w:eastAsia="仿宋_GB2312" w:cs="仿宋_GB2312"/>
          <w:sz w:val="32"/>
          <w:szCs w:val="32"/>
          <w:lang w:val="en-US" w:eastAsia="zh-CN"/>
        </w:rPr>
        <w:t>通过登录“技能人才培养网上服务平台”</w:t>
      </w:r>
      <w:r>
        <w:rPr>
          <w:rFonts w:hint="eastAsia" w:ascii="仿宋_GB2312" w:hAnsi="仿宋_GB2312" w:eastAsia="仿宋_GB2312" w:cs="仿宋_GB2312"/>
          <w:sz w:val="32"/>
          <w:szCs w:val="32"/>
        </w:rPr>
        <w:t>（https://www.sdzgeservice.cn/talentDevelopment）</w:t>
      </w:r>
      <w:r>
        <w:rPr>
          <w:rFonts w:hint="eastAsia" w:ascii="仿宋_GB2312" w:hAnsi="仿宋_GB2312" w:eastAsia="仿宋_GB2312" w:cs="仿宋_GB2312"/>
          <w:sz w:val="32"/>
          <w:szCs w:val="32"/>
          <w:lang w:val="en-US" w:eastAsia="zh-CN"/>
        </w:rPr>
        <w:t>，按照系统提示，完成线上报名，额满为止。</w:t>
      </w:r>
    </w:p>
    <w:p w14:paraId="0CEE3CF1">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w:t>
      </w:r>
      <w:r>
        <w:rPr>
          <w:rFonts w:hint="eastAsia" w:ascii="仿宋_GB2312" w:hAnsi="仿宋_GB2312" w:eastAsia="仿宋_GB2312" w:cs="仿宋_GB2312"/>
          <w:sz w:val="32"/>
          <w:szCs w:val="32"/>
          <w:lang w:eastAsia="zh-CN"/>
        </w:rPr>
        <w:t>或单位公章</w:t>
      </w:r>
      <w:r>
        <w:rPr>
          <w:rFonts w:hint="eastAsia" w:ascii="仿宋_GB2312" w:hAnsi="仿宋_GB2312" w:eastAsia="仿宋_GB2312" w:cs="仿宋_GB2312"/>
          <w:sz w:val="32"/>
          <w:szCs w:val="32"/>
        </w:rPr>
        <w:t>）请于报到当天提交至培训工作组，材料主要包括：学员报名表（由系统导出）、参训学员身份证复印件（正反面）、</w:t>
      </w:r>
      <w:r>
        <w:rPr>
          <w:rFonts w:hint="eastAsia" w:ascii="仿宋_GB2312" w:hAnsi="仿宋_GB2312" w:eastAsia="仿宋_GB2312" w:cs="仿宋_GB2312"/>
          <w:sz w:val="32"/>
          <w:szCs w:val="32"/>
          <w:lang w:val="en-US" w:eastAsia="zh-CN"/>
        </w:rPr>
        <w:t>技能人才评价证书或者</w:t>
      </w:r>
      <w:r>
        <w:rPr>
          <w:rFonts w:hint="eastAsia" w:ascii="仿宋_GB2312" w:hAnsi="仿宋_GB2312" w:eastAsia="仿宋_GB2312" w:cs="仿宋_GB2312"/>
          <w:sz w:val="32"/>
          <w:szCs w:val="32"/>
        </w:rPr>
        <w:t>相关专业学历证书复印件等。</w:t>
      </w:r>
    </w:p>
    <w:p w14:paraId="5B09B015">
      <w:pPr>
        <w:pStyle w:val="12"/>
        <w:spacing w:line="560" w:lineRule="exact"/>
        <w:ind w:firstLine="640"/>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lang w:val="en-US" w:eastAsia="zh-CN"/>
        </w:rPr>
        <w:t>3.本次培训为公益性培训，不收取相关费用。集中培训期间</w:t>
      </w:r>
      <w:r>
        <w:rPr>
          <w:rFonts w:hint="eastAsia" w:ascii="仿宋_GB2312" w:hAnsi="黑体" w:eastAsia="仿宋_GB2312"/>
          <w:sz w:val="32"/>
          <w:szCs w:val="32"/>
          <w:highlight w:val="none"/>
          <w:lang w:val="en-US" w:eastAsia="zh-CN"/>
        </w:rPr>
        <w:t>提供午餐</w:t>
      </w:r>
      <w:r>
        <w:rPr>
          <w:rFonts w:hint="eastAsia" w:ascii="仿宋_GB2312" w:hAnsi="仿宋_GB2312" w:eastAsia="仿宋_GB2312" w:cs="仿宋_GB2312"/>
          <w:kern w:val="2"/>
          <w:sz w:val="32"/>
          <w:szCs w:val="32"/>
          <w:lang w:val="en-US" w:eastAsia="zh-CN" w:bidi="ar-SA"/>
        </w:rPr>
        <w:t>，交通及住宿自理</w:t>
      </w:r>
      <w:r>
        <w:rPr>
          <w:rFonts w:hint="eastAsia" w:ascii="仿宋_GB2312" w:hAnsi="黑体" w:eastAsia="仿宋_GB2312"/>
          <w:sz w:val="32"/>
          <w:szCs w:val="32"/>
          <w:highlight w:val="none"/>
          <w:lang w:val="en-US" w:eastAsia="zh-CN"/>
        </w:rPr>
        <w:t>。</w:t>
      </w:r>
    </w:p>
    <w:p w14:paraId="2C33BED0">
      <w:pPr>
        <w:pStyle w:val="12"/>
        <w:spacing w:line="560" w:lineRule="exact"/>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4.学员报到时间：2026年</w:t>
      </w:r>
      <w:r>
        <w:rPr>
          <w:rFonts w:hint="eastAsia" w:ascii="仿宋_GB2312" w:hAnsi="黑体" w:eastAsia="仿宋_GB2312"/>
          <w:sz w:val="32"/>
          <w:szCs w:val="32"/>
          <w:highlight w:val="none"/>
          <w:lang w:val="en-US" w:eastAsia="zh-CN"/>
        </w:rPr>
        <w:t>9月20日上午8：00</w:t>
      </w:r>
      <w:r>
        <w:rPr>
          <w:rFonts w:hint="eastAsia" w:ascii="仿宋_GB2312" w:hAnsi="黑体" w:eastAsia="仿宋_GB2312"/>
          <w:sz w:val="32"/>
          <w:szCs w:val="32"/>
          <w:lang w:val="en-US" w:eastAsia="zh-CN"/>
        </w:rPr>
        <w:t>。</w:t>
      </w:r>
    </w:p>
    <w:p w14:paraId="23ECE918">
      <w:pPr>
        <w:pStyle w:val="12"/>
        <w:spacing w:line="560" w:lineRule="exact"/>
        <w:ind w:firstLine="640"/>
        <w:jc w:val="left"/>
        <w:rPr>
          <w:rFonts w:hint="default" w:ascii="黑体" w:hAnsi="黑体" w:eastAsia="黑体"/>
          <w:sz w:val="32"/>
          <w:szCs w:val="32"/>
          <w:lang w:val="en-US" w:eastAsia="zh-CN"/>
        </w:rPr>
      </w:pPr>
      <w:r>
        <w:rPr>
          <w:rFonts w:hint="eastAsia" w:ascii="黑体" w:hAnsi="黑体" w:eastAsia="黑体"/>
          <w:sz w:val="32"/>
          <w:szCs w:val="32"/>
          <w:lang w:val="en-US" w:eastAsia="zh-CN"/>
        </w:rPr>
        <w:t>九</w:t>
      </w:r>
      <w:r>
        <w:rPr>
          <w:rFonts w:hint="eastAsia" w:ascii="黑体" w:hAnsi="黑体" w:eastAsia="黑体"/>
          <w:sz w:val="32"/>
          <w:szCs w:val="32"/>
        </w:rPr>
        <w:t>、</w:t>
      </w:r>
      <w:r>
        <w:rPr>
          <w:rFonts w:hint="eastAsia" w:ascii="黑体" w:hAnsi="黑体" w:eastAsia="黑体"/>
          <w:sz w:val="32"/>
          <w:szCs w:val="32"/>
          <w:lang w:val="en-US" w:eastAsia="zh-CN"/>
        </w:rPr>
        <w:t>联系人</w:t>
      </w:r>
    </w:p>
    <w:p w14:paraId="052EEA5B">
      <w:pPr>
        <w:pStyle w:val="12"/>
        <w:numPr>
          <w:ilvl w:val="-1"/>
          <w:numId w:val="0"/>
        </w:numPr>
        <w:spacing w:line="560" w:lineRule="exact"/>
        <w:ind w:firstLine="640" w:firstLineChars="200"/>
        <w:jc w:val="left"/>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首都工匠学院（北京花乡花木集团有限公司）：</w:t>
      </w:r>
    </w:p>
    <w:p w14:paraId="5C51593A">
      <w:pPr>
        <w:pStyle w:val="12"/>
        <w:numPr>
          <w:ilvl w:val="0"/>
          <w:numId w:val="0"/>
        </w:numPr>
        <w:spacing w:line="56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黄维杰18810526933；陈晓敏13269939689</w:t>
      </w:r>
    </w:p>
    <w:p w14:paraId="25738527">
      <w:pPr>
        <w:spacing w:line="560" w:lineRule="exact"/>
        <w:ind w:firstLine="1280" w:firstLineChars="400"/>
        <w:jc w:val="center"/>
        <w:rPr>
          <w:rFonts w:hint="default" w:ascii="仿宋_GB2312" w:eastAsia="仿宋_GB2312"/>
          <w:sz w:val="32"/>
          <w:szCs w:val="32"/>
          <w:highlight w:val="none"/>
          <w:lang w:val="en-US" w:eastAsia="zh-CN"/>
        </w:rPr>
      </w:pPr>
    </w:p>
    <w:sectPr>
      <w:footerReference r:id="rId3" w:type="default"/>
      <w:pgSz w:w="11906" w:h="16838"/>
      <w:pgMar w:top="2098" w:right="1474" w:bottom="1984" w:left="1587" w:header="884" w:footer="1276"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DDB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8B16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F8B16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528"/>
    <w:rsid w:val="0149295E"/>
    <w:rsid w:val="0179697A"/>
    <w:rsid w:val="01A25EDC"/>
    <w:rsid w:val="01BF7B19"/>
    <w:rsid w:val="02331706"/>
    <w:rsid w:val="031A401B"/>
    <w:rsid w:val="0345774A"/>
    <w:rsid w:val="0450487C"/>
    <w:rsid w:val="04BC2E2B"/>
    <w:rsid w:val="04D860EE"/>
    <w:rsid w:val="070E33B9"/>
    <w:rsid w:val="07326CB9"/>
    <w:rsid w:val="08FB7F67"/>
    <w:rsid w:val="099322C7"/>
    <w:rsid w:val="0AD92328"/>
    <w:rsid w:val="0B2A7467"/>
    <w:rsid w:val="0C3338C9"/>
    <w:rsid w:val="0D5C3328"/>
    <w:rsid w:val="0E732CE7"/>
    <w:rsid w:val="0FA2011E"/>
    <w:rsid w:val="10C80A0A"/>
    <w:rsid w:val="10F2445A"/>
    <w:rsid w:val="11C56BB4"/>
    <w:rsid w:val="1673362B"/>
    <w:rsid w:val="1687731F"/>
    <w:rsid w:val="16C136E5"/>
    <w:rsid w:val="18052221"/>
    <w:rsid w:val="198B1FA0"/>
    <w:rsid w:val="1B306902"/>
    <w:rsid w:val="1BE30EFF"/>
    <w:rsid w:val="1E8243CB"/>
    <w:rsid w:val="23FE19F4"/>
    <w:rsid w:val="244C44E5"/>
    <w:rsid w:val="24C543A1"/>
    <w:rsid w:val="262A2CBB"/>
    <w:rsid w:val="263F23CC"/>
    <w:rsid w:val="266254E2"/>
    <w:rsid w:val="268575A2"/>
    <w:rsid w:val="26C8461C"/>
    <w:rsid w:val="270124F0"/>
    <w:rsid w:val="271C3DDF"/>
    <w:rsid w:val="271C6F12"/>
    <w:rsid w:val="27334721"/>
    <w:rsid w:val="279B67E9"/>
    <w:rsid w:val="280D35FF"/>
    <w:rsid w:val="29233D8C"/>
    <w:rsid w:val="29806800"/>
    <w:rsid w:val="29FA4563"/>
    <w:rsid w:val="2AFF3BE5"/>
    <w:rsid w:val="2B1C3D63"/>
    <w:rsid w:val="2B943E94"/>
    <w:rsid w:val="2B9A78A1"/>
    <w:rsid w:val="2CA73217"/>
    <w:rsid w:val="2CB21052"/>
    <w:rsid w:val="2D0F3144"/>
    <w:rsid w:val="2D770B83"/>
    <w:rsid w:val="2D904A6C"/>
    <w:rsid w:val="2E3F45EA"/>
    <w:rsid w:val="2E674331"/>
    <w:rsid w:val="2E801657"/>
    <w:rsid w:val="2E984B00"/>
    <w:rsid w:val="2EB33617"/>
    <w:rsid w:val="2EC8145A"/>
    <w:rsid w:val="3153730B"/>
    <w:rsid w:val="31C44181"/>
    <w:rsid w:val="3316526F"/>
    <w:rsid w:val="331B1B81"/>
    <w:rsid w:val="33515D89"/>
    <w:rsid w:val="336F6A99"/>
    <w:rsid w:val="38BE6CBE"/>
    <w:rsid w:val="38E42857"/>
    <w:rsid w:val="39552B37"/>
    <w:rsid w:val="39F43DED"/>
    <w:rsid w:val="3A5B3A0E"/>
    <w:rsid w:val="3B2D7096"/>
    <w:rsid w:val="3D3B766E"/>
    <w:rsid w:val="3DB66F2C"/>
    <w:rsid w:val="3EA65EE0"/>
    <w:rsid w:val="3EF01DFA"/>
    <w:rsid w:val="3EF048F8"/>
    <w:rsid w:val="3F3606C9"/>
    <w:rsid w:val="3F7B2D7C"/>
    <w:rsid w:val="3F9F3D14"/>
    <w:rsid w:val="418A2FB1"/>
    <w:rsid w:val="41C9151C"/>
    <w:rsid w:val="42D65C43"/>
    <w:rsid w:val="437507E2"/>
    <w:rsid w:val="44D526A1"/>
    <w:rsid w:val="450B33DC"/>
    <w:rsid w:val="47170634"/>
    <w:rsid w:val="47BD49EC"/>
    <w:rsid w:val="48340D37"/>
    <w:rsid w:val="488009FE"/>
    <w:rsid w:val="48AF58A4"/>
    <w:rsid w:val="49140E4A"/>
    <w:rsid w:val="49FD664F"/>
    <w:rsid w:val="4A4D0811"/>
    <w:rsid w:val="4A9E1C5C"/>
    <w:rsid w:val="4D8A359A"/>
    <w:rsid w:val="4DE12CE4"/>
    <w:rsid w:val="4E9066F0"/>
    <w:rsid w:val="4F5A1A06"/>
    <w:rsid w:val="4F5C07D3"/>
    <w:rsid w:val="507D3D1D"/>
    <w:rsid w:val="51B25D1D"/>
    <w:rsid w:val="522F0119"/>
    <w:rsid w:val="524F7E77"/>
    <w:rsid w:val="535B5CDF"/>
    <w:rsid w:val="53706A37"/>
    <w:rsid w:val="53D03836"/>
    <w:rsid w:val="54005FE1"/>
    <w:rsid w:val="542F2E01"/>
    <w:rsid w:val="5497353F"/>
    <w:rsid w:val="553F6F29"/>
    <w:rsid w:val="554B27D3"/>
    <w:rsid w:val="55733ABC"/>
    <w:rsid w:val="55C232F1"/>
    <w:rsid w:val="588947EE"/>
    <w:rsid w:val="58B8581B"/>
    <w:rsid w:val="5AA04289"/>
    <w:rsid w:val="5B9938B6"/>
    <w:rsid w:val="5BE27996"/>
    <w:rsid w:val="5C69538A"/>
    <w:rsid w:val="5C9546B0"/>
    <w:rsid w:val="5CBE43EC"/>
    <w:rsid w:val="5E7906CF"/>
    <w:rsid w:val="5F0A525A"/>
    <w:rsid w:val="5FB7149A"/>
    <w:rsid w:val="5FEF1C64"/>
    <w:rsid w:val="61635910"/>
    <w:rsid w:val="62364CFF"/>
    <w:rsid w:val="63E44EBF"/>
    <w:rsid w:val="66125141"/>
    <w:rsid w:val="66AA5829"/>
    <w:rsid w:val="69350634"/>
    <w:rsid w:val="6B297E9F"/>
    <w:rsid w:val="6C3A0D0B"/>
    <w:rsid w:val="6C4C13FC"/>
    <w:rsid w:val="6CB40633"/>
    <w:rsid w:val="6D3900FA"/>
    <w:rsid w:val="6D793C12"/>
    <w:rsid w:val="6E126B0D"/>
    <w:rsid w:val="6E33307A"/>
    <w:rsid w:val="6E9B0491"/>
    <w:rsid w:val="6ED43FE2"/>
    <w:rsid w:val="6FA80114"/>
    <w:rsid w:val="6FF72313"/>
    <w:rsid w:val="707E4226"/>
    <w:rsid w:val="70C06D67"/>
    <w:rsid w:val="713E625B"/>
    <w:rsid w:val="716252C6"/>
    <w:rsid w:val="743431B5"/>
    <w:rsid w:val="74B9560C"/>
    <w:rsid w:val="750C7615"/>
    <w:rsid w:val="762F1FFB"/>
    <w:rsid w:val="76E55340"/>
    <w:rsid w:val="77620752"/>
    <w:rsid w:val="782A59EF"/>
    <w:rsid w:val="78830EC5"/>
    <w:rsid w:val="78F47F26"/>
    <w:rsid w:val="7A2F24A2"/>
    <w:rsid w:val="7BCE7A18"/>
    <w:rsid w:val="7BEC1388"/>
    <w:rsid w:val="7BFB1BC2"/>
    <w:rsid w:val="7C8E50F0"/>
    <w:rsid w:val="7CF9397F"/>
    <w:rsid w:val="7D3F583D"/>
    <w:rsid w:val="7DFD5C85"/>
    <w:rsid w:val="7F142AD7"/>
    <w:rsid w:val="7F4705C3"/>
    <w:rsid w:val="7F6E456A"/>
    <w:rsid w:val="C9FE91FF"/>
    <w:rsid w:val="FF77CD88"/>
    <w:rsid w:val="FFEF8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3" w:lineRule="auto"/>
      <w:outlineLvl w:val="1"/>
    </w:pPr>
    <w:rPr>
      <w:rFonts w:ascii="Arial" w:hAnsi="Arial" w:eastAsia="华文仿宋"/>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4"/>
    <w:next w:val="4"/>
    <w:qFormat/>
    <w:uiPriority w:val="0"/>
    <w:pPr>
      <w:widowControl w:val="0"/>
      <w:spacing w:after="140" w:line="276" w:lineRule="auto"/>
      <w:jc w:val="both"/>
    </w:pPr>
    <w:rPr>
      <w:rFonts w:asciiTheme="minorHAnsi" w:hAnsiTheme="minorHAnsi" w:eastAsiaTheme="minorEastAsia" w:cstheme="minorBidi"/>
      <w:kern w:val="2"/>
      <w:sz w:val="21"/>
      <w:szCs w:val="22"/>
      <w:lang w:val="en-US" w:eastAsia="zh-CN" w:bidi="ar-SA"/>
    </w:rPr>
  </w:style>
  <w:style w:type="paragraph" w:styleId="4">
    <w:name w:val="Title"/>
    <w:next w:val="1"/>
    <w:qFormat/>
    <w:uiPriority w:val="10"/>
    <w:pPr>
      <w:widowControl/>
      <w:spacing w:line="700" w:lineRule="exact"/>
      <w:jc w:val="center"/>
      <w:textAlignment w:val="top"/>
      <w:outlineLvl w:val="0"/>
    </w:pPr>
    <w:rPr>
      <w:rFonts w:ascii="Times New Roman" w:hAnsi="Times New Roman" w:eastAsia="方正小标宋简体" w:cstheme="majorBidi"/>
      <w:b/>
      <w:bCs/>
      <w:sz w:val="44"/>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1">
    <w:name w:val="Hyperlink"/>
    <w:basedOn w:val="10"/>
    <w:qFormat/>
    <w:uiPriority w:val="0"/>
    <w:rPr>
      <w:color w:val="0000FF"/>
      <w:u w:val="single"/>
    </w:rPr>
  </w:style>
  <w:style w:type="paragraph" w:styleId="12">
    <w:name w:val="List Paragraph"/>
    <w:basedOn w:val="1"/>
    <w:unhideWhenUsed/>
    <w:qFormat/>
    <w:uiPriority w:val="99"/>
    <w:pPr>
      <w:ind w:firstLine="420" w:firstLineChars="200"/>
    </w:pPr>
  </w:style>
  <w:style w:type="character" w:customStyle="1" w:styleId="13">
    <w:name w:val="标题 2 Char"/>
    <w:basedOn w:val="10"/>
    <w:link w:val="2"/>
    <w:qFormat/>
    <w:uiPriority w:val="0"/>
    <w:rPr>
      <w:rFonts w:ascii="Arial" w:hAnsi="Arial" w:eastAsia="华文仿宋"/>
      <w:b/>
      <w:sz w:val="32"/>
    </w:rPr>
  </w:style>
  <w:style w:type="paragraph" w:customStyle="1" w:styleId="14">
    <w:name w:val="Body Text First Indent 21"/>
    <w:next w:val="3"/>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6f8383db-cf70-425f-a34e-1157b3ebd342</errorID>
      <errorWord xmlns="http://schemas.wps.cn/vas-ai-hub/contract-review">总工会相关部门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总工会</item>
      </candidateList>
      <explain xmlns="http://schemas.wps.cn/vas-ai-hub/contract-review"/>
      <paraID xmlns="http://schemas.wps.cn/vas-ai-hub/contract-review">1419081E</paraID>
      <start xmlns="http://schemas.wps.cn/vas-ai-hub/contract-review">15</start>
      <end xmlns="http://schemas.wps.cn/vas-ai-hub/contract-review">18</end>
      <status xmlns="http://schemas.wps.cn/vas-ai-hub/contract-review">modified</status>
      <modifiedWord xmlns="http://schemas.wps.cn/vas-ai-hub/contract-review">总工会</modifiedWord>
      <trackRevisions xmlns="http://schemas.wps.cn/vas-ai-hub/contract-review">false</trackRevisions>
    </reviewItem>
    <reviewItem xmlns="http://schemas.wps.cn/vas-ai-hub/contract-review">
      <errorID xmlns="http://schemas.wps.cn/vas-ai-hub/contract-review">93550f6b-2f72-4b86-80ae-349b072a86cb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1419081E</paraID>
      <start xmlns="http://schemas.wps.cn/vas-ai-hub/contract-review">35</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8af9c65b-1886-409d-978e-fb77354a723f</errorID>
      <errorWord xmlns="http://schemas.wps.cn/vas-ai-hub/contract-review">工会相关部门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工会</item>
      </candidateList>
      <explain xmlns="http://schemas.wps.cn/vas-ai-hub/contract-review"/>
      <paraID xmlns="http://schemas.wps.cn/vas-ai-hub/contract-review">1419081E</paraID>
      <start xmlns="http://schemas.wps.cn/vas-ai-hub/contract-review">49</start>
      <end xmlns="http://schemas.wps.cn/vas-ai-hub/contract-review">51</end>
      <status xmlns="http://schemas.wps.cn/vas-ai-hub/contract-review">modified</status>
      <modifiedWord xmlns="http://schemas.wps.cn/vas-ai-hub/contract-review">工会</modifiedWord>
      <trackRevisions xmlns="http://schemas.wps.cn/vas-ai-hub/contract-review">false</trackRevisions>
    </reviewItem>
    <reviewItem xmlns="http://schemas.wps.cn/vas-ai-hub/contract-review">
      <errorID xmlns="http://schemas.wps.cn/vas-ai-hub/contract-review">43c18a6e-a5e7-42ee-931f-866bba483db9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7B558170</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0d859b6e-9c27-4726-8299-2b4723a70589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73296F2A</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3aaf1a2b-26b3-4432-8049-37f7a63f19ed</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称号。</item>
      </candidateList>
      <explain xmlns="http://schemas.wps.cn/vas-ai-hub/contract-review"/>
      <paraID xmlns="http://schemas.wps.cn/vas-ai-hub/contract-review">6FE0DBF3</paraID>
      <start xmlns="http://schemas.wps.cn/vas-ai-hub/contract-review">71</start>
      <end xmlns="http://schemas.wps.cn/vas-ai-hub/contract-review">74</end>
      <status xmlns="http://schemas.wps.cn/vas-ai-hub/contract-review">modified</status>
      <modifiedWord xmlns="http://schemas.wps.cn/vas-ai-hub/contract-review">称号。</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dbdfca-3555-4d23-9fa8-d866742a362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2150</Words>
  <Characters>2310</Characters>
  <Lines>0</Lines>
  <Paragraphs>0</Paragraphs>
  <TotalTime>11</TotalTime>
  <ScaleCrop>false</ScaleCrop>
  <LinksUpToDate>false</LinksUpToDate>
  <CharactersWithSpaces>2346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2024-09-21T18:47:00Z</dcterms:created>
  <dc:creator>Lenovo</dc:creator>
  <cp:lastModifiedBy>Mts</cp:lastModifiedBy>
  <dcterms:modified xsi:type="dcterms:W3CDTF">2026-08-17T03:26:14Z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76D031E0A620411FAF4A5CAC19A9F737_13</vt:lpwstr>
  </property>
  <property fmtid="{D5CDD505-2E9C-101B-9397-08002B2CF9AE}" pid="4" name="KSOTemplateDocerSaveRecord">
    <vt:lpwstr>eyJoZGlkIjoiZGQ5YjU4NTM0ZThiNTNjMzYwMDQxY2MyMjFmMjFlMjkiLCJ1c2VySWQiOiIzOTMyMDU4MTAifQ==</vt:lpwstr>
  </property>
</Properties>
</file>