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928D6">
      <w:pPr>
        <w:spacing w:line="560" w:lineRule="exact"/>
        <w:jc w:val="left"/>
        <w:rPr>
          <w:rFonts w:hint="eastAsia" w:ascii="黑体" w:hAnsi="黑体" w:eastAsia="黑体" w:cs="黑体"/>
          <w:sz w:val="32"/>
          <w:szCs w:val="32"/>
        </w:rPr>
      </w:pPr>
      <w:r>
        <w:rPr>
          <w:rFonts w:hint="eastAsia" w:ascii="黑体" w:hAnsi="黑体" w:eastAsia="黑体" w:cs="黑体"/>
          <w:sz w:val="32"/>
          <w:szCs w:val="32"/>
        </w:rPr>
        <w:t>附件</w:t>
      </w:r>
    </w:p>
    <w:p w14:paraId="2FAEBB60">
      <w:pPr>
        <w:spacing w:line="560" w:lineRule="exact"/>
        <w:jc w:val="left"/>
        <w:rPr>
          <w:rFonts w:hint="eastAsia" w:ascii="黑体" w:hAnsi="黑体" w:eastAsia="黑体" w:cs="黑体"/>
          <w:sz w:val="32"/>
          <w:szCs w:val="32"/>
        </w:rPr>
      </w:pPr>
    </w:p>
    <w:p w14:paraId="06D07B0C">
      <w:pPr>
        <w:spacing w:line="560" w:lineRule="exact"/>
        <w:jc w:val="center"/>
        <w:rPr>
          <w:rFonts w:ascii="仿宋_GB2312" w:eastAsia="仿宋_GB2312"/>
          <w:sz w:val="32"/>
          <w:szCs w:val="32"/>
        </w:rPr>
      </w:pPr>
      <w:r>
        <w:rPr>
          <w:rFonts w:hint="eastAsia" w:ascii="方正小标宋简体" w:hAnsi="微软雅黑" w:eastAsia="方正小标宋简体"/>
          <w:sz w:val="44"/>
          <w:szCs w:val="36"/>
          <w:shd w:val="clear" w:color="auto" w:fill="FFFFFF"/>
        </w:rPr>
        <w:t>首都工匠学院2026年经济金融领域人工智能创新高技能人才培训班实施方案</w:t>
      </w:r>
    </w:p>
    <w:p w14:paraId="42D85891">
      <w:pPr>
        <w:spacing w:line="560" w:lineRule="exact"/>
        <w:ind w:firstLine="640" w:firstLineChars="200"/>
        <w:jc w:val="left"/>
        <w:rPr>
          <w:rFonts w:ascii="仿宋_GB2312" w:eastAsia="仿宋_GB2312"/>
          <w:sz w:val="32"/>
          <w:szCs w:val="32"/>
        </w:rPr>
      </w:pPr>
    </w:p>
    <w:p w14:paraId="1BE3BA30">
      <w:pPr>
        <w:pStyle w:val="13"/>
        <w:spacing w:line="560" w:lineRule="exact"/>
        <w:ind w:firstLine="640"/>
        <w:jc w:val="left"/>
        <w:rPr>
          <w:sz w:val="30"/>
          <w:szCs w:val="30"/>
        </w:rPr>
      </w:pPr>
      <w:r>
        <w:rPr>
          <w:rFonts w:hint="eastAsia" w:ascii="黑体" w:hAnsi="黑体" w:eastAsia="黑体"/>
          <w:sz w:val="32"/>
          <w:szCs w:val="32"/>
        </w:rPr>
        <w:t>一、培训目标</w:t>
      </w:r>
      <w:r>
        <w:rPr>
          <w:rFonts w:hint="eastAsia" w:ascii="仿宋_GB2312" w:hAnsi="仿宋_GB2312" w:eastAsia="仿宋_GB2312" w:cs="仿宋_GB2312"/>
          <w:sz w:val="30"/>
          <w:szCs w:val="30"/>
        </w:rPr>
        <w:t xml:space="preserve"> </w:t>
      </w:r>
    </w:p>
    <w:p w14:paraId="70107635">
      <w:pPr>
        <w:pStyle w:val="13"/>
        <w:spacing w:line="560" w:lineRule="exact"/>
        <w:ind w:firstLine="64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培养具备人工智能技术应用能力的经济金融专业领军人才，提升学员在智能投顾、量化交易、金融风控模型构建等方面的关键技能，打造一支懂技术、精业务的金融高技能人才队伍。</w:t>
      </w:r>
    </w:p>
    <w:p w14:paraId="035FAE89">
      <w:pPr>
        <w:pStyle w:val="13"/>
        <w:spacing w:line="560" w:lineRule="exact"/>
        <w:ind w:firstLine="640"/>
        <w:jc w:val="left"/>
        <w:rPr>
          <w:rFonts w:hint="eastAsia" w:ascii="黑体" w:hAnsi="黑体" w:eastAsia="黑体"/>
          <w:sz w:val="32"/>
          <w:szCs w:val="32"/>
        </w:rPr>
      </w:pPr>
      <w:r>
        <w:rPr>
          <w:rFonts w:hint="eastAsia" w:ascii="黑体" w:hAnsi="黑体" w:eastAsia="黑体"/>
          <w:sz w:val="32"/>
          <w:szCs w:val="32"/>
        </w:rPr>
        <w:t>二、培训时间及培训人数</w:t>
      </w:r>
    </w:p>
    <w:p w14:paraId="6139E00A">
      <w:pPr>
        <w:spacing w:line="560" w:lineRule="exact"/>
        <w:ind w:firstLine="640" w:firstLineChars="200"/>
        <w:jc w:val="left"/>
        <w:rPr>
          <w:bCs/>
        </w:rPr>
      </w:pPr>
      <w:r>
        <w:rPr>
          <w:rFonts w:hint="eastAsia" w:ascii="仿宋_GB2312" w:hAnsi="宋体" w:eastAsia="仿宋_GB2312" w:cs="仿宋_GB2312"/>
          <w:kern w:val="0"/>
          <w:sz w:val="32"/>
          <w:szCs w:val="32"/>
          <w:lang w:bidi="ar"/>
        </w:rPr>
        <w:t>1.培训时间：2026年9月7日至9月11日，共计40学时。</w:t>
      </w:r>
    </w:p>
    <w:p w14:paraId="73BAEFEC">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2.培训人数：50人。</w:t>
      </w:r>
    </w:p>
    <w:p w14:paraId="79B00E18">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三、培训对象</w:t>
      </w:r>
    </w:p>
    <w:p w14:paraId="3BCD5E5C">
      <w:pPr>
        <w:spacing w:line="560" w:lineRule="exact"/>
        <w:ind w:firstLine="640" w:firstLineChars="200"/>
        <w:jc w:val="left"/>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面向经济金融领域中级及以上专业技术资格人员，经济金融相关创新工作室成员，经济金融相关技能大赛选手，在经济金融领域一线工作并掌握相关技能的职工，其他在行业（领域）有贡献的高技能人才。</w:t>
      </w:r>
    </w:p>
    <w:p w14:paraId="55EDBF03">
      <w:pPr>
        <w:numPr>
          <w:ilvl w:val="0"/>
          <w:numId w:val="1"/>
        </w:num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培训内容</w:t>
      </w:r>
    </w:p>
    <w:tbl>
      <w:tblPr>
        <w:tblStyle w:val="9"/>
        <w:tblW w:w="8699" w:type="dxa"/>
        <w:tblInd w:w="91" w:type="dxa"/>
        <w:tblLayout w:type="fixed"/>
        <w:tblCellMar>
          <w:top w:w="0" w:type="dxa"/>
          <w:left w:w="108" w:type="dxa"/>
          <w:bottom w:w="0" w:type="dxa"/>
          <w:right w:w="108" w:type="dxa"/>
        </w:tblCellMar>
      </w:tblPr>
      <w:tblGrid>
        <w:gridCol w:w="1147"/>
        <w:gridCol w:w="741"/>
        <w:gridCol w:w="4275"/>
        <w:gridCol w:w="1792"/>
        <w:gridCol w:w="744"/>
      </w:tblGrid>
      <w:tr w14:paraId="0588DD0D">
        <w:tblPrEx>
          <w:tblCellMar>
            <w:top w:w="0" w:type="dxa"/>
            <w:left w:w="108" w:type="dxa"/>
            <w:bottom w:w="0" w:type="dxa"/>
            <w:right w:w="108" w:type="dxa"/>
          </w:tblCellMar>
        </w:tblPrEx>
        <w:trPr>
          <w:trHeight w:val="624" w:hRule="atLeast"/>
        </w:trPr>
        <w:tc>
          <w:tcPr>
            <w:tcW w:w="1888" w:type="dxa"/>
            <w:gridSpan w:val="2"/>
            <w:tcBorders>
              <w:top w:val="single" w:color="000000" w:sz="4" w:space="0"/>
              <w:left w:val="single" w:color="000000" w:sz="4" w:space="0"/>
              <w:bottom w:val="single" w:color="000000" w:sz="4" w:space="0"/>
              <w:right w:val="single" w:color="000000" w:sz="4" w:space="0"/>
            </w:tcBorders>
            <w:noWrap/>
            <w:vAlign w:val="center"/>
          </w:tcPr>
          <w:p w14:paraId="212013B3">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培训时间</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6915150">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课程名称</w:t>
            </w:r>
          </w:p>
        </w:tc>
        <w:tc>
          <w:tcPr>
            <w:tcW w:w="1792" w:type="dxa"/>
            <w:tcBorders>
              <w:top w:val="single" w:color="000000" w:sz="4" w:space="0"/>
              <w:left w:val="single" w:color="000000" w:sz="4" w:space="0"/>
              <w:bottom w:val="single" w:color="000000" w:sz="4" w:space="0"/>
              <w:right w:val="single" w:color="000000" w:sz="4" w:space="0"/>
            </w:tcBorders>
            <w:vAlign w:val="center"/>
          </w:tcPr>
          <w:p w14:paraId="4DA5F681">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培训方式</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08E0744">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lang w:bidi="ar"/>
              </w:rPr>
              <w:t>学时</w:t>
            </w:r>
          </w:p>
        </w:tc>
      </w:tr>
      <w:tr w14:paraId="416BF193">
        <w:tblPrEx>
          <w:tblCellMar>
            <w:top w:w="0" w:type="dxa"/>
            <w:left w:w="108" w:type="dxa"/>
            <w:bottom w:w="0" w:type="dxa"/>
            <w:right w:w="108" w:type="dxa"/>
          </w:tblCellMar>
        </w:tblPrEx>
        <w:trPr>
          <w:trHeight w:val="952"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74FDF69F">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9月7日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229F7B25">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F2C98B8">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1.开班仪式</w:t>
            </w:r>
          </w:p>
          <w:p w14:paraId="10362346">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2.三个精神主题宣讲</w:t>
            </w:r>
          </w:p>
        </w:tc>
        <w:tc>
          <w:tcPr>
            <w:tcW w:w="1792" w:type="dxa"/>
            <w:tcBorders>
              <w:top w:val="single" w:color="000000" w:sz="4" w:space="0"/>
              <w:left w:val="single" w:color="000000" w:sz="4" w:space="0"/>
              <w:bottom w:val="single" w:color="000000" w:sz="4" w:space="0"/>
              <w:right w:val="single" w:color="000000" w:sz="4" w:space="0"/>
            </w:tcBorders>
            <w:vAlign w:val="center"/>
          </w:tcPr>
          <w:p w14:paraId="31347E58">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D4310EB">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77180D32">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6002B607">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5D204AEE">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5DD628B1">
            <w:pPr>
              <w:widowControl/>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AI在金融资产配置中的应用</w:t>
            </w:r>
          </w:p>
        </w:tc>
        <w:tc>
          <w:tcPr>
            <w:tcW w:w="1792" w:type="dxa"/>
            <w:tcBorders>
              <w:top w:val="single" w:color="000000" w:sz="4" w:space="0"/>
              <w:left w:val="single" w:color="000000" w:sz="4" w:space="0"/>
              <w:bottom w:val="single" w:color="000000" w:sz="4" w:space="0"/>
              <w:right w:val="single" w:color="000000" w:sz="4" w:space="0"/>
            </w:tcBorders>
            <w:vAlign w:val="center"/>
          </w:tcPr>
          <w:p w14:paraId="3FE45747">
            <w:pPr>
              <w:widowControl/>
              <w:spacing w:line="240" w:lineRule="auto"/>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0AD6C5E">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22DD0E67">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78C1C985">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9月8日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4FAAC5FE">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20085D38">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大数据与金融</w:t>
            </w:r>
          </w:p>
        </w:tc>
        <w:tc>
          <w:tcPr>
            <w:tcW w:w="1792" w:type="dxa"/>
            <w:tcBorders>
              <w:top w:val="single" w:color="000000" w:sz="4" w:space="0"/>
              <w:left w:val="single" w:color="000000" w:sz="4" w:space="0"/>
              <w:bottom w:val="single" w:color="000000" w:sz="4" w:space="0"/>
              <w:right w:val="single" w:color="000000" w:sz="4" w:space="0"/>
            </w:tcBorders>
            <w:vAlign w:val="center"/>
          </w:tcPr>
          <w:p w14:paraId="70619F9E">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3CD16EE">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4B5F8409">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72AE448E">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106FE680">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3A57E60C">
            <w:pPr>
              <w:widowControl/>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智能体：AI金融的新阶段</w:t>
            </w:r>
          </w:p>
        </w:tc>
        <w:tc>
          <w:tcPr>
            <w:tcW w:w="1792" w:type="dxa"/>
            <w:tcBorders>
              <w:top w:val="single" w:color="000000" w:sz="4" w:space="0"/>
              <w:left w:val="single" w:color="000000" w:sz="4" w:space="0"/>
              <w:bottom w:val="single" w:color="000000" w:sz="4" w:space="0"/>
              <w:right w:val="single" w:color="000000" w:sz="4" w:space="0"/>
            </w:tcBorders>
            <w:vAlign w:val="center"/>
          </w:tcPr>
          <w:p w14:paraId="020D67EA">
            <w:pPr>
              <w:widowControl/>
              <w:spacing w:line="240" w:lineRule="auto"/>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C97517A">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7AD772A9">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37E17AC8">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9月9日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6D356859">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6AF2F76F">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AI研究工具与金融应用：从搜索到决策</w:t>
            </w:r>
          </w:p>
        </w:tc>
        <w:tc>
          <w:tcPr>
            <w:tcW w:w="1792" w:type="dxa"/>
            <w:tcBorders>
              <w:top w:val="single" w:color="000000" w:sz="4" w:space="0"/>
              <w:left w:val="single" w:color="000000" w:sz="4" w:space="0"/>
              <w:bottom w:val="single" w:color="000000" w:sz="4" w:space="0"/>
              <w:right w:val="single" w:color="000000" w:sz="4" w:space="0"/>
            </w:tcBorders>
            <w:vAlign w:val="center"/>
          </w:tcPr>
          <w:p w14:paraId="7393B68A">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1153D3CF">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538BFF51">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5D22703A">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6C534DC7">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0AD0DF4">
            <w:pPr>
              <w:widowControl/>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AI与智能风控</w:t>
            </w:r>
          </w:p>
        </w:tc>
        <w:tc>
          <w:tcPr>
            <w:tcW w:w="1792" w:type="dxa"/>
            <w:tcBorders>
              <w:top w:val="single" w:color="000000" w:sz="4" w:space="0"/>
              <w:left w:val="single" w:color="000000" w:sz="4" w:space="0"/>
              <w:bottom w:val="single" w:color="000000" w:sz="4" w:space="0"/>
              <w:right w:val="single" w:color="000000" w:sz="4" w:space="0"/>
            </w:tcBorders>
            <w:vAlign w:val="center"/>
          </w:tcPr>
          <w:p w14:paraId="0F62CB81">
            <w:pPr>
              <w:widowControl/>
              <w:spacing w:line="240" w:lineRule="auto"/>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理论+实践案例</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7109C5D9">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102C8F8E">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right w:val="single" w:color="000000" w:sz="4" w:space="0"/>
            </w:tcBorders>
            <w:noWrap/>
            <w:vAlign w:val="center"/>
          </w:tcPr>
          <w:p w14:paraId="6A4EBBF9">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9月10日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1002E03E">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0A640CEA">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行业导师经验分享、交流研讨</w:t>
            </w:r>
          </w:p>
        </w:tc>
        <w:tc>
          <w:tcPr>
            <w:tcW w:w="1792" w:type="dxa"/>
            <w:tcBorders>
              <w:top w:val="single" w:color="000000" w:sz="4" w:space="0"/>
              <w:left w:val="single" w:color="000000" w:sz="4" w:space="0"/>
              <w:bottom w:val="single" w:color="000000" w:sz="4" w:space="0"/>
              <w:right w:val="single" w:color="000000" w:sz="4" w:space="0"/>
            </w:tcBorders>
            <w:vAlign w:val="center"/>
          </w:tcPr>
          <w:p w14:paraId="3E2DAEF5">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交流研讨</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1E899663">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4</w:t>
            </w:r>
          </w:p>
        </w:tc>
      </w:tr>
      <w:tr w14:paraId="1099F079">
        <w:tblPrEx>
          <w:tblCellMar>
            <w:top w:w="0" w:type="dxa"/>
            <w:left w:w="108" w:type="dxa"/>
            <w:bottom w:w="0" w:type="dxa"/>
            <w:right w:w="108" w:type="dxa"/>
          </w:tblCellMar>
        </w:tblPrEx>
        <w:trPr>
          <w:trHeight w:val="624" w:hRule="atLeast"/>
        </w:trPr>
        <w:tc>
          <w:tcPr>
            <w:tcW w:w="1147" w:type="dxa"/>
            <w:vMerge w:val="continue"/>
            <w:tcBorders>
              <w:left w:val="single" w:color="000000" w:sz="4" w:space="0"/>
              <w:bottom w:val="single" w:color="000000" w:sz="4" w:space="0"/>
              <w:right w:val="single" w:color="000000" w:sz="4" w:space="0"/>
            </w:tcBorders>
            <w:noWrap/>
            <w:vAlign w:val="center"/>
          </w:tcPr>
          <w:p w14:paraId="58B295CF">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030FBDF9">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vAlign w:val="center"/>
          </w:tcPr>
          <w:p w14:paraId="79BB9BE0">
            <w:pPr>
              <w:pStyle w:val="13"/>
              <w:widowControl/>
              <w:numPr>
                <w:ilvl w:val="0"/>
                <w:numId w:val="0"/>
              </w:numPr>
              <w:ind w:leftChars="0"/>
              <w:jc w:val="left"/>
              <w:textAlignment w:val="center"/>
              <w:rPr>
                <w:rFonts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1.金融人工智能北京市重点实验室</w:t>
            </w:r>
          </w:p>
          <w:p w14:paraId="0C18360B">
            <w:pPr>
              <w:pStyle w:val="13"/>
              <w:widowControl/>
              <w:numPr>
                <w:ilvl w:val="0"/>
                <w:numId w:val="0"/>
              </w:numPr>
              <w:ind w:leftChars="0"/>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2.</w:t>
            </w:r>
            <w:r>
              <w:rPr>
                <w:rFonts w:ascii="仿宋_GB2312" w:hAnsi="宋体" w:eastAsia="仿宋_GB2312" w:cs="仿宋_GB2312"/>
                <w:kern w:val="0"/>
                <w:sz w:val="24"/>
                <w:szCs w:val="24"/>
                <w:lang w:bidi="ar"/>
              </w:rPr>
              <w:t>理论考核</w:t>
            </w:r>
          </w:p>
        </w:tc>
        <w:tc>
          <w:tcPr>
            <w:tcW w:w="1792" w:type="dxa"/>
            <w:tcBorders>
              <w:top w:val="single" w:color="000000" w:sz="4" w:space="0"/>
              <w:left w:val="single" w:color="000000" w:sz="4" w:space="0"/>
              <w:bottom w:val="single" w:color="000000" w:sz="4" w:space="0"/>
              <w:right w:val="single" w:color="000000" w:sz="4" w:space="0"/>
            </w:tcBorders>
            <w:vAlign w:val="center"/>
          </w:tcPr>
          <w:p w14:paraId="7F4E7AE1">
            <w:pPr>
              <w:widowControl/>
              <w:spacing w:line="240" w:lineRule="auto"/>
              <w:jc w:val="center"/>
              <w:textAlignment w:val="center"/>
              <w:rPr>
                <w:rFonts w:hint="default"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bidi="ar"/>
              </w:rPr>
              <w:t>实践</w:t>
            </w:r>
            <w:r>
              <w:rPr>
                <w:rFonts w:hint="eastAsia" w:ascii="仿宋_GB2312" w:hAnsi="宋体" w:eastAsia="仿宋_GB2312" w:cs="仿宋_GB2312"/>
                <w:kern w:val="0"/>
                <w:sz w:val="24"/>
                <w:szCs w:val="24"/>
                <w:lang w:val="en-US" w:eastAsia="zh-CN" w:bidi="ar"/>
              </w:rPr>
              <w:t>+考核</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7AE49F7">
            <w:pPr>
              <w:widowControl/>
              <w:jc w:val="center"/>
              <w:textAlignment w:val="center"/>
              <w:rPr>
                <w:rFonts w:hint="eastAsia"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4</w:t>
            </w:r>
          </w:p>
        </w:tc>
      </w:tr>
      <w:tr w14:paraId="7BAAAB16">
        <w:tblPrEx>
          <w:tblCellMar>
            <w:top w:w="0" w:type="dxa"/>
            <w:left w:w="108" w:type="dxa"/>
            <w:bottom w:w="0" w:type="dxa"/>
            <w:right w:w="108" w:type="dxa"/>
          </w:tblCellMar>
        </w:tblPrEx>
        <w:trPr>
          <w:trHeight w:val="624" w:hRule="atLeast"/>
        </w:trPr>
        <w:tc>
          <w:tcPr>
            <w:tcW w:w="1147" w:type="dxa"/>
            <w:vMerge w:val="restart"/>
            <w:tcBorders>
              <w:top w:val="single" w:color="000000" w:sz="4" w:space="0"/>
              <w:left w:val="single" w:color="000000" w:sz="4" w:space="0"/>
              <w:bottom w:val="single" w:color="000000" w:sz="4" w:space="0"/>
              <w:right w:val="single" w:color="000000" w:sz="4" w:space="0"/>
            </w:tcBorders>
            <w:noWrap/>
            <w:vAlign w:val="center"/>
          </w:tcPr>
          <w:p w14:paraId="617A8D04">
            <w:pPr>
              <w:spacing w:line="560" w:lineRule="exact"/>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9月11日</w:t>
            </w: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3F94822B">
            <w:pPr>
              <w:spacing w:line="560" w:lineRule="exact"/>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上午</w:t>
            </w:r>
          </w:p>
        </w:tc>
        <w:tc>
          <w:tcPr>
            <w:tcW w:w="4275" w:type="dxa"/>
            <w:tcBorders>
              <w:top w:val="single" w:color="000000" w:sz="4" w:space="0"/>
              <w:left w:val="single" w:color="000000" w:sz="4" w:space="0"/>
              <w:bottom w:val="single" w:color="000000" w:sz="4" w:space="0"/>
              <w:right w:val="single" w:color="000000" w:sz="4" w:space="0"/>
            </w:tcBorders>
            <w:noWrap/>
            <w:vAlign w:val="center"/>
          </w:tcPr>
          <w:p w14:paraId="4FEA22EA">
            <w:pPr>
              <w:jc w:val="left"/>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头部科技创新企业未来中心人工智能馆现场教学</w:t>
            </w:r>
          </w:p>
        </w:tc>
        <w:tc>
          <w:tcPr>
            <w:tcW w:w="1792" w:type="dxa"/>
            <w:tcBorders>
              <w:top w:val="single" w:color="000000" w:sz="4" w:space="0"/>
              <w:left w:val="single" w:color="000000" w:sz="4" w:space="0"/>
              <w:bottom w:val="single" w:color="000000" w:sz="4" w:space="0"/>
              <w:right w:val="single" w:color="000000" w:sz="4" w:space="0"/>
            </w:tcBorders>
            <w:vAlign w:val="center"/>
          </w:tcPr>
          <w:p w14:paraId="3AF8414A">
            <w:pPr>
              <w:spacing w:line="240" w:lineRule="auto"/>
              <w:jc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实践</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CB49208">
            <w:pPr>
              <w:spacing w:line="560" w:lineRule="exact"/>
              <w:jc w:val="center"/>
              <w:rPr>
                <w:rFonts w:hint="eastAsia"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4</w:t>
            </w:r>
          </w:p>
        </w:tc>
      </w:tr>
      <w:tr w14:paraId="5D3503F8">
        <w:tblPrEx>
          <w:tblCellMar>
            <w:top w:w="0" w:type="dxa"/>
            <w:left w:w="108" w:type="dxa"/>
            <w:bottom w:w="0" w:type="dxa"/>
            <w:right w:w="108" w:type="dxa"/>
          </w:tblCellMar>
        </w:tblPrEx>
        <w:trPr>
          <w:trHeight w:val="624" w:hRule="atLeast"/>
        </w:trPr>
        <w:tc>
          <w:tcPr>
            <w:tcW w:w="1147" w:type="dxa"/>
            <w:vMerge w:val="continue"/>
            <w:tcBorders>
              <w:top w:val="single" w:color="000000" w:sz="4" w:space="0"/>
              <w:left w:val="single" w:color="000000" w:sz="4" w:space="0"/>
              <w:bottom w:val="single" w:color="000000" w:sz="4" w:space="0"/>
              <w:right w:val="single" w:color="000000" w:sz="4" w:space="0"/>
            </w:tcBorders>
            <w:noWrap/>
            <w:vAlign w:val="center"/>
          </w:tcPr>
          <w:p w14:paraId="36397961">
            <w:pPr>
              <w:jc w:val="center"/>
              <w:rPr>
                <w:rFonts w:hint="eastAsia" w:ascii="仿宋_GB2312" w:hAnsi="宋体" w:eastAsia="仿宋_GB2312" w:cs="仿宋_GB2312"/>
                <w:kern w:val="0"/>
                <w:sz w:val="24"/>
                <w:szCs w:val="24"/>
                <w:lang w:bidi="ar"/>
              </w:rPr>
            </w:pPr>
          </w:p>
        </w:tc>
        <w:tc>
          <w:tcPr>
            <w:tcW w:w="741" w:type="dxa"/>
            <w:tcBorders>
              <w:top w:val="single" w:color="000000" w:sz="4" w:space="0"/>
              <w:left w:val="single" w:color="000000" w:sz="4" w:space="0"/>
              <w:bottom w:val="single" w:color="000000" w:sz="4" w:space="0"/>
              <w:right w:val="single" w:color="000000" w:sz="4" w:space="0"/>
            </w:tcBorders>
            <w:noWrap/>
            <w:vAlign w:val="center"/>
          </w:tcPr>
          <w:p w14:paraId="017CDC62">
            <w:pPr>
              <w:widowControl/>
              <w:jc w:val="center"/>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下午</w:t>
            </w:r>
          </w:p>
        </w:tc>
        <w:tc>
          <w:tcPr>
            <w:tcW w:w="4275" w:type="dxa"/>
            <w:tcBorders>
              <w:top w:val="single" w:color="000000" w:sz="4" w:space="0"/>
              <w:left w:val="single" w:color="000000" w:sz="4" w:space="0"/>
              <w:bottom w:val="single" w:color="000000" w:sz="4" w:space="0"/>
              <w:right w:val="single" w:color="000000" w:sz="4" w:space="0"/>
            </w:tcBorders>
            <w:vAlign w:val="center"/>
          </w:tcPr>
          <w:p w14:paraId="25AE423A">
            <w:pPr>
              <w:widowControl/>
              <w:numPr>
                <w:ilvl w:val="0"/>
                <w:numId w:val="0"/>
              </w:numPr>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1.头部科技创新企业人工智能大模型现场教学</w:t>
            </w:r>
          </w:p>
          <w:p w14:paraId="1CC1F515">
            <w:pPr>
              <w:widowControl/>
              <w:numPr>
                <w:ilvl w:val="0"/>
                <w:numId w:val="0"/>
              </w:numPr>
              <w:jc w:val="left"/>
              <w:textAlignment w:val="center"/>
              <w:rPr>
                <w:rFonts w:hint="eastAsia" w:ascii="仿宋_GB2312" w:hAnsi="宋体" w:eastAsia="仿宋_GB2312" w:cs="仿宋_GB2312"/>
                <w:kern w:val="0"/>
                <w:sz w:val="24"/>
                <w:szCs w:val="24"/>
                <w:lang w:bidi="ar"/>
              </w:rPr>
            </w:pPr>
            <w:r>
              <w:rPr>
                <w:rFonts w:hint="eastAsia" w:ascii="仿宋_GB2312" w:hAnsi="宋体" w:eastAsia="仿宋_GB2312" w:cs="仿宋_GB2312"/>
                <w:kern w:val="0"/>
                <w:sz w:val="24"/>
                <w:szCs w:val="24"/>
                <w:lang w:bidi="ar"/>
              </w:rPr>
              <w:t>2.实践考核</w:t>
            </w:r>
          </w:p>
        </w:tc>
        <w:tc>
          <w:tcPr>
            <w:tcW w:w="1792" w:type="dxa"/>
            <w:tcBorders>
              <w:top w:val="single" w:color="000000" w:sz="4" w:space="0"/>
              <w:left w:val="single" w:color="000000" w:sz="4" w:space="0"/>
              <w:bottom w:val="single" w:color="000000" w:sz="4" w:space="0"/>
              <w:right w:val="single" w:color="000000" w:sz="4" w:space="0"/>
            </w:tcBorders>
            <w:vAlign w:val="center"/>
          </w:tcPr>
          <w:p w14:paraId="464912AA">
            <w:pPr>
              <w:spacing w:line="240" w:lineRule="auto"/>
              <w:jc w:val="center"/>
              <w:rPr>
                <w:rFonts w:hint="default"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实践+考核</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7F7091E7">
            <w:pPr>
              <w:widowControl/>
              <w:jc w:val="center"/>
              <w:textAlignment w:val="center"/>
              <w:rPr>
                <w:rFonts w:hint="default"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4</w:t>
            </w:r>
          </w:p>
        </w:tc>
      </w:tr>
    </w:tbl>
    <w:p w14:paraId="6FF86EFE">
      <w:pPr>
        <w:spacing w:line="560" w:lineRule="exact"/>
        <w:ind w:firstLine="640" w:firstLineChars="200"/>
        <w:jc w:val="left"/>
      </w:pPr>
      <w:r>
        <w:rPr>
          <w:rFonts w:hint="eastAsia" w:ascii="黑体" w:hAnsi="黑体" w:eastAsia="黑体"/>
          <w:sz w:val="32"/>
          <w:szCs w:val="32"/>
        </w:rPr>
        <w:t>五、培训地点</w:t>
      </w:r>
    </w:p>
    <w:p w14:paraId="4EB07D25">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中央财经大学沙河校区3号学院楼222报告厅</w:t>
      </w:r>
      <w:r>
        <w:rPr>
          <w:rFonts w:hint="eastAsia" w:ascii="仿宋_GB2312" w:hAnsi="仿宋_GB2312" w:eastAsia="仿宋_GB2312" w:cs="仿宋_GB2312"/>
          <w:sz w:val="32"/>
          <w:szCs w:val="32"/>
          <w:lang w:eastAsia="zh-CN"/>
        </w:rPr>
        <w:t>。</w:t>
      </w:r>
    </w:p>
    <w:p w14:paraId="75CA3C2F">
      <w:pPr>
        <w:spacing w:line="560" w:lineRule="exact"/>
        <w:ind w:firstLine="640" w:firstLineChars="200"/>
        <w:jc w:val="left"/>
        <w:rPr>
          <w:rFonts w:hint="eastAsia" w:ascii="黑体" w:hAnsi="黑体"/>
          <w:sz w:val="32"/>
          <w:szCs w:val="32"/>
        </w:rPr>
      </w:pPr>
      <w:r>
        <w:rPr>
          <w:rFonts w:hint="eastAsia" w:ascii="黑体" w:hAnsi="黑体" w:eastAsia="黑体"/>
          <w:sz w:val="32"/>
          <w:szCs w:val="32"/>
        </w:rPr>
        <w:t>六、主要授课教师</w:t>
      </w:r>
      <w:r>
        <w:rPr>
          <w:rFonts w:hint="eastAsia"/>
        </w:rPr>
        <w:t xml:space="preserve"> </w:t>
      </w:r>
    </w:p>
    <w:p w14:paraId="02608771">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1.张学勇，中央财经大学校长助理，金融学院院长，人工智能研究院常务副院长，金融人工智能北京市重点实验室主任，教授，博</w:t>
      </w:r>
      <w:r>
        <w:rPr>
          <w:rFonts w:hint="eastAsia" w:ascii="仿宋_GB2312" w:hAnsi="仿宋_GB2312" w:eastAsia="仿宋_GB2312" w:cs="仿宋_GB2312"/>
          <w:b w:val="0"/>
          <w:bCs w:val="0"/>
          <w:sz w:val="32"/>
          <w:szCs w:val="32"/>
          <w:lang w:val="en-US" w:eastAsia="zh-CN"/>
        </w:rPr>
        <w:t>士</w:t>
      </w:r>
      <w:r>
        <w:rPr>
          <w:rFonts w:hint="eastAsia" w:ascii="仿宋_GB2312" w:hAnsi="仿宋_GB2312" w:eastAsia="仿宋_GB2312" w:cs="仿宋_GB2312"/>
          <w:b w:val="0"/>
          <w:bCs w:val="0"/>
          <w:sz w:val="32"/>
          <w:szCs w:val="32"/>
        </w:rPr>
        <w:t>生导师，清华大学博士后，美国宾州州立大学、美国德州州立大学达拉斯分校访问学者。国家级高层次人才项目入选者，国家社会科学基金重大项目主持人，北京市应急委员会金融小组专家。</w:t>
      </w:r>
    </w:p>
    <w:p w14:paraId="2F2B8F80">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苟琴，中央财经大学金融学院副院长，金融人工智能北京市重点实验室副主任，教授，北京大学经济学博士，美国纽约大学、芬兰银行访问学者。《金融从业规范风险管理》国家行业标准以及《金融风险管理框架》、《金融风险管理术语》国家标准</w:t>
      </w:r>
      <w:bookmarkStart w:id="0" w:name="_GoBack"/>
      <w:bookmarkEnd w:id="0"/>
      <w:r>
        <w:rPr>
          <w:rFonts w:hint="eastAsia" w:ascii="仿宋_GB2312" w:hAnsi="仿宋_GB2312" w:eastAsia="仿宋_GB2312" w:cs="仿宋_GB2312"/>
          <w:b w:val="0"/>
          <w:bCs w:val="0"/>
          <w:sz w:val="32"/>
          <w:szCs w:val="32"/>
        </w:rPr>
        <w:t>主要起草专家。主持国家自然科学基金面上项目、青年项目，参与国家社科基金重大项目、国家自然科学基金应急重点项目等多项国家级课题。</w:t>
      </w:r>
    </w:p>
    <w:p w14:paraId="41A10BC4">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3.王靖一，中央财经大学金融人工智能北京市重点实验室副主任，金融大模型实验室主任，副教授。主要研究方向是金融科技、深度学习等。在《管理世界》、《金融研究》、Journal of Financial Stability、China Economic Review 等国内外知名期刊发表论文。主持国家自然科学基金面上项目、青年项目。</w:t>
      </w:r>
    </w:p>
    <w:p w14:paraId="024F9A7C">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朱一峰，中央财经大学金融学院副教授、金融工程系系主任，中财—奇安信金融数据安全实验室主任，中央财经大学硕士生导师、MBA导师、上海交通大学高级金融学院MBA导师（兼职），金融创新与可持续发展研究中心副主任。主持教育部人文社会科学研究规划基金项目和人工智能相关横向课题，参与教育部哲学社会科学研究重大课题攻关项目和国家自然科学基金面上项目。</w:t>
      </w:r>
    </w:p>
    <w:p w14:paraId="74E6126C">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5.王忏，中央财经大学金融学院副教授，金融科技系主任，研究方向为货币经济学、金融学等，在国内外期刊发表论文近30篇，参编教材4部，任经济研究、世界经济等多家期刊匿名审稿人。</w:t>
      </w:r>
    </w:p>
    <w:p w14:paraId="37E23395">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6.张欣然，中央财经大学金融学院教授，清华大学博士，入选国家级青年人才计划，哥伦比亚大学访问学者。主要研究方向为资本市场、金融科技等。主持国家自然科学基金青年项目1项。</w:t>
      </w:r>
    </w:p>
    <w:p w14:paraId="6005ED35">
      <w:pPr>
        <w:spacing w:line="56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7.王曰涵，中央财经大学金融学院讲师，应用经济学博士。主要研究方向为金融科技、行为金融学、中国跨境资本市场。主要讲授课程为金融科技学、区块链技术与应用。</w:t>
      </w:r>
    </w:p>
    <w:p w14:paraId="606A7355">
      <w:pPr>
        <w:pStyle w:val="13"/>
        <w:widowControl/>
        <w:spacing w:line="560" w:lineRule="exact"/>
        <w:ind w:firstLine="640"/>
        <w:jc w:val="left"/>
        <w:rPr>
          <w:rFonts w:hint="eastAsia" w:ascii="仿宋_GB2312" w:hAnsi="仿宋_GB2312" w:eastAsia="仿宋_GB2312" w:cs="仿宋_GB2312"/>
          <w:color w:val="333333"/>
          <w:sz w:val="32"/>
          <w:szCs w:val="32"/>
        </w:rPr>
      </w:pPr>
      <w:r>
        <w:rPr>
          <w:rFonts w:hint="eastAsia" w:ascii="黑体" w:hAnsi="黑体" w:eastAsia="黑体"/>
          <w:sz w:val="32"/>
          <w:szCs w:val="32"/>
        </w:rPr>
        <w:t>七、考核评价</w:t>
      </w:r>
    </w:p>
    <w:p w14:paraId="599CA3D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采用考勤考核与考试考核相结合的方式，全面检验学员学习成效与综合素养。</w:t>
      </w:r>
    </w:p>
    <w:p w14:paraId="50CC63B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1.考勤考核</w:t>
      </w:r>
    </w:p>
    <w:p w14:paraId="2FE0C387">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学员出勤比率达到80%及以上者，考勤考核合格</w:t>
      </w:r>
      <w:r>
        <w:rPr>
          <w:rFonts w:hint="eastAsia" w:ascii="仿宋_GB2312" w:hAnsi="仿宋_GB2312" w:eastAsia="仿宋_GB2312" w:cs="仿宋_GB2312"/>
          <w:sz w:val="32"/>
          <w:szCs w:val="32"/>
          <w:lang w:eastAsia="zh-CN"/>
        </w:rPr>
        <w:t>。</w:t>
      </w:r>
    </w:p>
    <w:p w14:paraId="0C979A2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2.考试考核</w:t>
      </w:r>
    </w:p>
    <w:p w14:paraId="062352A8">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考核由理论考核与实操考核两部分组成，重点考查学员对人工智能大模型理论知识的掌握程度，以及在实际场景中利用智能体开发工具解决业务问题的能力，满分均为100分，考试总成绩由理论成绩（占比40%）和实操成绩（占比60%）加权组成，总成绩达到80分及以上，评定为考试考核合格。</w:t>
      </w:r>
    </w:p>
    <w:p w14:paraId="4A871C8B">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考勤考核与考试考核均合格者，将获得结业证书，并纳入北京市总工会技能人才库，未来将优先参加首都工匠学院举办的相关技术技能提升培训活动。</w:t>
      </w:r>
    </w:p>
    <w:p w14:paraId="76120D5B">
      <w:pPr>
        <w:pStyle w:val="13"/>
        <w:spacing w:line="560" w:lineRule="exact"/>
        <w:ind w:firstLine="640"/>
        <w:jc w:val="left"/>
        <w:rPr>
          <w:rFonts w:hint="eastAsia" w:ascii="黑体" w:hAnsi="黑体" w:eastAsia="黑体"/>
          <w:sz w:val="32"/>
          <w:szCs w:val="32"/>
        </w:rPr>
      </w:pPr>
      <w:r>
        <w:rPr>
          <w:rFonts w:hint="eastAsia" w:ascii="黑体" w:hAnsi="黑体" w:eastAsia="黑体"/>
          <w:sz w:val="32"/>
          <w:szCs w:val="32"/>
        </w:rPr>
        <w:t>八、注意事项</w:t>
      </w:r>
    </w:p>
    <w:p w14:paraId="66FC356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1.每个单位限推荐1-3名符合条件人员参加培训，并于2026年9月4日前，通过登录“技能人才培养网上服务平台”（https://www.sdzgeservice.cn/talentDevelopment），按照系统提示，完成线上报名，额满为止。</w:t>
      </w:r>
    </w:p>
    <w:p w14:paraId="67549B19">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材料纸质版（需加盖本级工会公章或者单位公章）请于报到当天提交至培训工作组，材料主要包括：学员报名表（由系统导出）、参训学员身份证复印件（正反面）、技能人才评价证书或者相关专业学历证书复印件等。</w:t>
      </w:r>
    </w:p>
    <w:p w14:paraId="5C90539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3.本次培训为公益性培训，不收取相关费用。集中培训期间提供午餐，市内交通、住宿费用自理。</w:t>
      </w:r>
    </w:p>
    <w:p w14:paraId="56CFCC3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4.学员报到时间：2026年9月7日上午8:00-8:30。</w:t>
      </w:r>
    </w:p>
    <w:p w14:paraId="08244E5D">
      <w:pPr>
        <w:pStyle w:val="13"/>
        <w:widowControl/>
        <w:spacing w:line="560" w:lineRule="exact"/>
        <w:ind w:firstLine="640"/>
        <w:jc w:val="left"/>
        <w:rPr>
          <w:rFonts w:hint="eastAsia" w:ascii="黑体" w:hAnsi="黑体" w:eastAsia="黑体"/>
          <w:sz w:val="32"/>
          <w:szCs w:val="32"/>
        </w:rPr>
      </w:pPr>
      <w:r>
        <w:rPr>
          <w:rFonts w:hint="eastAsia" w:ascii="黑体" w:hAnsi="黑体" w:eastAsia="黑体"/>
          <w:sz w:val="32"/>
          <w:szCs w:val="32"/>
        </w:rPr>
        <w:t>九、联系人</w:t>
      </w:r>
    </w:p>
    <w:p w14:paraId="769FBB7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首都工匠学院（中央财经大学金融学院）：</w:t>
      </w:r>
    </w:p>
    <w:p w14:paraId="4DD5177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胡传雨 61778685，单艳敏 18801262761</w:t>
      </w:r>
    </w:p>
    <w:p w14:paraId="101F2564">
      <w:pPr>
        <w:pStyle w:val="13"/>
        <w:spacing w:line="560" w:lineRule="exact"/>
        <w:ind w:firstLine="640"/>
        <w:jc w:val="left"/>
        <w:rPr>
          <w:rFonts w:hint="eastAsia" w:ascii="仿宋_GB2312" w:hAnsi="仿宋_GB2312" w:eastAsia="仿宋_GB2312" w:cs="仿宋_GB2312"/>
          <w:sz w:val="32"/>
          <w:szCs w:val="32"/>
        </w:rPr>
      </w:pPr>
    </w:p>
    <w:p w14:paraId="070A3FC3">
      <w:pPr>
        <w:wordWrap w:val="0"/>
        <w:spacing w:line="560" w:lineRule="exact"/>
        <w:rPr>
          <w:rFonts w:ascii="仿宋_GB2312" w:eastAsia="仿宋_GB2312"/>
          <w:sz w:val="32"/>
          <w:szCs w:val="32"/>
        </w:rPr>
      </w:pPr>
      <w:r>
        <w:rPr>
          <w:rFonts w:hint="eastAsia" w:ascii="仿宋_GB2312" w:hAnsi="仿宋_GB2312" w:eastAsia="仿宋_GB2312" w:cs="仿宋_GB2312"/>
          <w:sz w:val="32"/>
          <w:szCs w:val="32"/>
        </w:rPr>
        <w:t xml:space="preserve"> </w:t>
      </w:r>
    </w:p>
    <w:p w14:paraId="39853DBE">
      <w:pPr>
        <w:spacing w:line="560" w:lineRule="exact"/>
        <w:rPr>
          <w:rFonts w:ascii="仿宋_GB2312" w:eastAsia="仿宋_GB2312"/>
          <w:sz w:val="32"/>
          <w:szCs w:val="32"/>
        </w:rPr>
      </w:pPr>
      <w:r>
        <w:rPr>
          <w:rFonts w:hint="eastAsia" w:ascii="仿宋_GB2312" w:eastAsia="仿宋_GB2312"/>
          <w:sz w:val="32"/>
          <w:szCs w:val="32"/>
        </w:rPr>
        <w:t xml:space="preserve">   </w:t>
      </w:r>
    </w:p>
    <w:sectPr>
      <w:footerReference r:id="rId3" w:type="default"/>
      <w:pgSz w:w="11906" w:h="16838"/>
      <w:pgMar w:top="2098" w:right="1474" w:bottom="1984" w:left="1587" w:header="884" w:footer="1276"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393381-4B43-4B2A-B00B-BD688234CD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72597FAC-67D0-4848-87DC-3862CD2C4113}"/>
  </w:font>
  <w:font w:name="微软雅黑">
    <w:panose1 w:val="020B0503020204020204"/>
    <w:charset w:val="86"/>
    <w:family w:val="swiss"/>
    <w:pitch w:val="default"/>
    <w:sig w:usb0="80000287" w:usb1="2ACF3C50" w:usb2="00000016" w:usb3="00000000" w:csb0="0004001F" w:csb1="00000000"/>
    <w:embedRegular r:id="rId3" w:fontKey="{06E694F7-6E02-4E26-AD0B-511B854992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8077">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433C7">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8433C7">
                    <w:pPr>
                      <w:pStyle w:val="6"/>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464D7"/>
    <w:multiLevelType w:val="singleLevel"/>
    <w:tmpl w:val="046464D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YzU2MDVkZTBkYTRhMWVmZWVjYWM2NGNlYjAyYjQifQ=="/>
  </w:docVars>
  <w:rsids>
    <w:rsidRoot w:val="005D655E"/>
    <w:rsid w:val="00003548"/>
    <w:rsid w:val="000E7FC7"/>
    <w:rsid w:val="00133528"/>
    <w:rsid w:val="0034675A"/>
    <w:rsid w:val="00404C0C"/>
    <w:rsid w:val="005D655E"/>
    <w:rsid w:val="00641E35"/>
    <w:rsid w:val="00713FFA"/>
    <w:rsid w:val="007D1ED1"/>
    <w:rsid w:val="00837E89"/>
    <w:rsid w:val="00881591"/>
    <w:rsid w:val="0096397C"/>
    <w:rsid w:val="00A73C84"/>
    <w:rsid w:val="00B3646C"/>
    <w:rsid w:val="00E226DE"/>
    <w:rsid w:val="00F71EFD"/>
    <w:rsid w:val="00FB1153"/>
    <w:rsid w:val="0128608B"/>
    <w:rsid w:val="0149295E"/>
    <w:rsid w:val="01611CF8"/>
    <w:rsid w:val="0179697A"/>
    <w:rsid w:val="01A25EDC"/>
    <w:rsid w:val="01BF7B19"/>
    <w:rsid w:val="02331706"/>
    <w:rsid w:val="029167E5"/>
    <w:rsid w:val="02942855"/>
    <w:rsid w:val="030B47EA"/>
    <w:rsid w:val="031A401B"/>
    <w:rsid w:val="0345774A"/>
    <w:rsid w:val="04470273"/>
    <w:rsid w:val="0450487C"/>
    <w:rsid w:val="047563BF"/>
    <w:rsid w:val="04D860EE"/>
    <w:rsid w:val="06135E8F"/>
    <w:rsid w:val="070E33B9"/>
    <w:rsid w:val="07326CB9"/>
    <w:rsid w:val="08CE609D"/>
    <w:rsid w:val="08EB30F3"/>
    <w:rsid w:val="08FB7F67"/>
    <w:rsid w:val="090441B5"/>
    <w:rsid w:val="093D1475"/>
    <w:rsid w:val="099322C7"/>
    <w:rsid w:val="0AD92328"/>
    <w:rsid w:val="0B2A7467"/>
    <w:rsid w:val="0C3338C9"/>
    <w:rsid w:val="0C5269C3"/>
    <w:rsid w:val="0C7E48A2"/>
    <w:rsid w:val="0D5C3328"/>
    <w:rsid w:val="0E732CE7"/>
    <w:rsid w:val="0FA2011E"/>
    <w:rsid w:val="10C80A0A"/>
    <w:rsid w:val="11C56BB4"/>
    <w:rsid w:val="1673362B"/>
    <w:rsid w:val="1687731F"/>
    <w:rsid w:val="16C136E5"/>
    <w:rsid w:val="16CB1E6E"/>
    <w:rsid w:val="18052221"/>
    <w:rsid w:val="1B306902"/>
    <w:rsid w:val="1BE30EFF"/>
    <w:rsid w:val="1C781C6A"/>
    <w:rsid w:val="1E0F11DA"/>
    <w:rsid w:val="1E8243CB"/>
    <w:rsid w:val="1F134CFA"/>
    <w:rsid w:val="1FD40998"/>
    <w:rsid w:val="22BF31CF"/>
    <w:rsid w:val="23B02DA5"/>
    <w:rsid w:val="23FC7B0B"/>
    <w:rsid w:val="23FE19F4"/>
    <w:rsid w:val="244C44E5"/>
    <w:rsid w:val="24AD349C"/>
    <w:rsid w:val="24C543A1"/>
    <w:rsid w:val="262A2CBB"/>
    <w:rsid w:val="263F23CC"/>
    <w:rsid w:val="266254E2"/>
    <w:rsid w:val="268575A2"/>
    <w:rsid w:val="26C8461C"/>
    <w:rsid w:val="270124F0"/>
    <w:rsid w:val="271C3DDF"/>
    <w:rsid w:val="271C6F12"/>
    <w:rsid w:val="27846795"/>
    <w:rsid w:val="279B67E9"/>
    <w:rsid w:val="27E234BC"/>
    <w:rsid w:val="280D35FF"/>
    <w:rsid w:val="29233D8C"/>
    <w:rsid w:val="2975051B"/>
    <w:rsid w:val="29806800"/>
    <w:rsid w:val="29FA4563"/>
    <w:rsid w:val="2AFF3BE5"/>
    <w:rsid w:val="2B1C3D63"/>
    <w:rsid w:val="2B5841C1"/>
    <w:rsid w:val="2B764647"/>
    <w:rsid w:val="2BEB6DE3"/>
    <w:rsid w:val="2BF57C61"/>
    <w:rsid w:val="2C5F157F"/>
    <w:rsid w:val="2CB21052"/>
    <w:rsid w:val="2D0F3144"/>
    <w:rsid w:val="2D256324"/>
    <w:rsid w:val="2D770B83"/>
    <w:rsid w:val="2D904A6C"/>
    <w:rsid w:val="2E3F45EA"/>
    <w:rsid w:val="2E674331"/>
    <w:rsid w:val="2E801657"/>
    <w:rsid w:val="2E984B00"/>
    <w:rsid w:val="2EB33617"/>
    <w:rsid w:val="2F81180C"/>
    <w:rsid w:val="30112B90"/>
    <w:rsid w:val="313308E4"/>
    <w:rsid w:val="31C44181"/>
    <w:rsid w:val="32911D66"/>
    <w:rsid w:val="32F26CA9"/>
    <w:rsid w:val="33152997"/>
    <w:rsid w:val="331B1B81"/>
    <w:rsid w:val="33515D89"/>
    <w:rsid w:val="336F6A99"/>
    <w:rsid w:val="35191950"/>
    <w:rsid w:val="35523A2F"/>
    <w:rsid w:val="35B244CD"/>
    <w:rsid w:val="38BE6CBE"/>
    <w:rsid w:val="39552B37"/>
    <w:rsid w:val="39F43DED"/>
    <w:rsid w:val="3A5B3A0E"/>
    <w:rsid w:val="3B2D7096"/>
    <w:rsid w:val="3C776865"/>
    <w:rsid w:val="3D3B766E"/>
    <w:rsid w:val="3EA65EE0"/>
    <w:rsid w:val="3EF01DFA"/>
    <w:rsid w:val="3EF048F8"/>
    <w:rsid w:val="3F3606C9"/>
    <w:rsid w:val="3F3643C1"/>
    <w:rsid w:val="3F9F3D14"/>
    <w:rsid w:val="418A2FB1"/>
    <w:rsid w:val="41C9151C"/>
    <w:rsid w:val="42D65C43"/>
    <w:rsid w:val="43686B13"/>
    <w:rsid w:val="437507E2"/>
    <w:rsid w:val="43761230"/>
    <w:rsid w:val="43A318F9"/>
    <w:rsid w:val="44D526A1"/>
    <w:rsid w:val="46054AED"/>
    <w:rsid w:val="47170634"/>
    <w:rsid w:val="47BD49EC"/>
    <w:rsid w:val="48340D37"/>
    <w:rsid w:val="488009FE"/>
    <w:rsid w:val="48A4239B"/>
    <w:rsid w:val="48AF58A4"/>
    <w:rsid w:val="49140E4A"/>
    <w:rsid w:val="49425710"/>
    <w:rsid w:val="49555444"/>
    <w:rsid w:val="49FD664F"/>
    <w:rsid w:val="4A4D0811"/>
    <w:rsid w:val="4A9E1C5C"/>
    <w:rsid w:val="4B582BCD"/>
    <w:rsid w:val="4BD72E76"/>
    <w:rsid w:val="4C4913FA"/>
    <w:rsid w:val="4D8A359A"/>
    <w:rsid w:val="4DE12CE4"/>
    <w:rsid w:val="4EE7151C"/>
    <w:rsid w:val="4F5A1A06"/>
    <w:rsid w:val="50334005"/>
    <w:rsid w:val="507B1ED7"/>
    <w:rsid w:val="507D3D1D"/>
    <w:rsid w:val="50E111B9"/>
    <w:rsid w:val="510F05CE"/>
    <w:rsid w:val="51B25D1D"/>
    <w:rsid w:val="51B65454"/>
    <w:rsid w:val="522F0119"/>
    <w:rsid w:val="524424F9"/>
    <w:rsid w:val="524F7E77"/>
    <w:rsid w:val="535B5CDF"/>
    <w:rsid w:val="53706A37"/>
    <w:rsid w:val="53D03836"/>
    <w:rsid w:val="54005FE1"/>
    <w:rsid w:val="542F2E01"/>
    <w:rsid w:val="5497353F"/>
    <w:rsid w:val="554B27D3"/>
    <w:rsid w:val="55690A59"/>
    <w:rsid w:val="55733ABC"/>
    <w:rsid w:val="55B856D8"/>
    <w:rsid w:val="55C232F1"/>
    <w:rsid w:val="58B8581B"/>
    <w:rsid w:val="58C44394"/>
    <w:rsid w:val="5A4F5EDF"/>
    <w:rsid w:val="5A7F67C4"/>
    <w:rsid w:val="5AA04289"/>
    <w:rsid w:val="5B9938B6"/>
    <w:rsid w:val="5BE27996"/>
    <w:rsid w:val="5C69538A"/>
    <w:rsid w:val="5C9546B0"/>
    <w:rsid w:val="5CBE43EC"/>
    <w:rsid w:val="5D745F02"/>
    <w:rsid w:val="5E211941"/>
    <w:rsid w:val="5E7906CF"/>
    <w:rsid w:val="5F0A486B"/>
    <w:rsid w:val="5F0A525A"/>
    <w:rsid w:val="5F2931A3"/>
    <w:rsid w:val="5FB7149A"/>
    <w:rsid w:val="5FEF1C64"/>
    <w:rsid w:val="61635910"/>
    <w:rsid w:val="61747A77"/>
    <w:rsid w:val="62364CFF"/>
    <w:rsid w:val="629E3FFC"/>
    <w:rsid w:val="62FD0BCE"/>
    <w:rsid w:val="63E44EBF"/>
    <w:rsid w:val="648A46E4"/>
    <w:rsid w:val="65263149"/>
    <w:rsid w:val="65D76F42"/>
    <w:rsid w:val="66125141"/>
    <w:rsid w:val="66AA5829"/>
    <w:rsid w:val="66E300DB"/>
    <w:rsid w:val="67713939"/>
    <w:rsid w:val="67BD3547"/>
    <w:rsid w:val="68582403"/>
    <w:rsid w:val="69350634"/>
    <w:rsid w:val="6ABE6E95"/>
    <w:rsid w:val="6B175E6D"/>
    <w:rsid w:val="6B297E9F"/>
    <w:rsid w:val="6B6F63E1"/>
    <w:rsid w:val="6C4C13FC"/>
    <w:rsid w:val="6CB40633"/>
    <w:rsid w:val="6D3900FA"/>
    <w:rsid w:val="6D793C12"/>
    <w:rsid w:val="6E0F3719"/>
    <w:rsid w:val="6E126B0D"/>
    <w:rsid w:val="6E33307A"/>
    <w:rsid w:val="6ED43FE2"/>
    <w:rsid w:val="6FA80114"/>
    <w:rsid w:val="6FF72313"/>
    <w:rsid w:val="707E4226"/>
    <w:rsid w:val="70C06D67"/>
    <w:rsid w:val="713E625B"/>
    <w:rsid w:val="716252C6"/>
    <w:rsid w:val="71A16BC9"/>
    <w:rsid w:val="72405049"/>
    <w:rsid w:val="743431B5"/>
    <w:rsid w:val="74B9560C"/>
    <w:rsid w:val="750C7615"/>
    <w:rsid w:val="762F1FFB"/>
    <w:rsid w:val="76E55340"/>
    <w:rsid w:val="77620752"/>
    <w:rsid w:val="77C655DB"/>
    <w:rsid w:val="78094848"/>
    <w:rsid w:val="78830EC5"/>
    <w:rsid w:val="78EC1071"/>
    <w:rsid w:val="78F47F26"/>
    <w:rsid w:val="79CE0777"/>
    <w:rsid w:val="7A2F24A2"/>
    <w:rsid w:val="7BCE7A18"/>
    <w:rsid w:val="7BEC1388"/>
    <w:rsid w:val="7C0919C6"/>
    <w:rsid w:val="7C741481"/>
    <w:rsid w:val="7C8E50F0"/>
    <w:rsid w:val="7CF36C98"/>
    <w:rsid w:val="7CF9397F"/>
    <w:rsid w:val="7D3F583D"/>
    <w:rsid w:val="7DAF3557"/>
    <w:rsid w:val="7DB92179"/>
    <w:rsid w:val="7DFD5C85"/>
    <w:rsid w:val="7EDC56E4"/>
    <w:rsid w:val="7F142AD7"/>
    <w:rsid w:val="7F4705C3"/>
    <w:rsid w:val="7F6E456A"/>
    <w:rsid w:val="7FF8479F"/>
    <w:rsid w:val="8BF7767F"/>
    <w:rsid w:val="9E3F4F23"/>
    <w:rsid w:val="DFDF02FF"/>
    <w:rsid w:val="FF7FE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qFormat/>
    <w:uiPriority w:val="0"/>
    <w:pPr>
      <w:keepNext/>
      <w:keepLines/>
      <w:spacing w:before="260" w:after="260" w:line="413" w:lineRule="auto"/>
      <w:outlineLvl w:val="1"/>
    </w:pPr>
    <w:rPr>
      <w:rFonts w:ascii="Arial" w:hAnsi="Arial" w:eastAsia="华文仿宋"/>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5"/>
    <w:next w:val="5"/>
    <w:qFormat/>
    <w:uiPriority w:val="0"/>
    <w:pPr>
      <w:widowControl w:val="0"/>
      <w:spacing w:after="140" w:line="276" w:lineRule="auto"/>
      <w:jc w:val="both"/>
    </w:pPr>
    <w:rPr>
      <w:rFonts w:asciiTheme="minorHAnsi" w:hAnsiTheme="minorHAnsi" w:eastAsiaTheme="minorEastAsia" w:cstheme="minorBidi"/>
      <w:kern w:val="2"/>
      <w:sz w:val="21"/>
      <w:szCs w:val="22"/>
    </w:rPr>
  </w:style>
  <w:style w:type="paragraph" w:styleId="5">
    <w:name w:val="Title"/>
    <w:next w:val="1"/>
    <w:qFormat/>
    <w:uiPriority w:val="10"/>
    <w:pPr>
      <w:spacing w:line="700" w:lineRule="exact"/>
      <w:jc w:val="center"/>
      <w:textAlignment w:val="top"/>
      <w:outlineLvl w:val="0"/>
    </w:pPr>
    <w:rPr>
      <w:rFonts w:ascii="Times New Roman" w:hAnsi="Times New Roman" w:eastAsia="方正小标宋简体" w:cstheme="majorBidi"/>
      <w:b/>
      <w:bCs/>
      <w:sz w:val="44"/>
      <w:szCs w:val="3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Hyperlink"/>
    <w:basedOn w:val="11"/>
    <w:qFormat/>
    <w:uiPriority w:val="0"/>
    <w:rPr>
      <w:color w:val="0000FF"/>
      <w:u w:val="single"/>
    </w:rPr>
  </w:style>
  <w:style w:type="paragraph" w:styleId="13">
    <w:name w:val="List Paragraph"/>
    <w:basedOn w:val="1"/>
    <w:unhideWhenUsed/>
    <w:qFormat/>
    <w:uiPriority w:val="99"/>
    <w:pPr>
      <w:ind w:firstLine="420" w:firstLineChars="200"/>
    </w:pPr>
  </w:style>
  <w:style w:type="character" w:customStyle="1" w:styleId="14">
    <w:name w:val="标题 2 字符"/>
    <w:basedOn w:val="11"/>
    <w:link w:val="2"/>
    <w:qFormat/>
    <w:uiPriority w:val="0"/>
    <w:rPr>
      <w:rFonts w:ascii="Arial" w:hAnsi="Arial" w:eastAsia="华文仿宋"/>
      <w:b/>
      <w:sz w:val="32"/>
    </w:rPr>
  </w:style>
  <w:style w:type="paragraph" w:customStyle="1" w:styleId="15">
    <w:name w:val="Body Text First Indent 21"/>
    <w:next w:val="4"/>
    <w:qFormat/>
    <w:uiPriority w:val="0"/>
    <w:pPr>
      <w:widowControl w:val="0"/>
      <w:spacing w:line="500" w:lineRule="exact"/>
      <w:ind w:firstLine="420" w:firstLineChars="200"/>
      <w:jc w:val="both"/>
    </w:pPr>
    <w:rPr>
      <w:rFonts w:ascii="Times New Roman" w:hAnsi="Times New Roman" w:cs="Times New Roman" w:eastAsiaTheme="minorEastAsia"/>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1938</Words>
  <Characters>2106</Characters>
  <Lines>18</Lines>
  <Paragraphs>5</Paragraphs>
  <TotalTime>185</TotalTime>
  <ScaleCrop>false</ScaleCrop>
  <LinksUpToDate>false</LinksUpToDate>
  <CharactersWithSpaces>2120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2024-09-21T18:47:00Z</dcterms:created>
  <dc:creator>Lenovo</dc:creator>
  <cp:lastModifiedBy>Mts</cp:lastModifiedBy>
  <dcterms:modified xsi:type="dcterms:W3CDTF">2026-08-12T08:22:13Z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C8D8322A3B55414AA66B38AB9C05FE1D_13</vt:lpwstr>
  </property>
  <property fmtid="{D5CDD505-2E9C-101B-9397-08002B2CF9AE}" pid="4" name="KSOTemplateDocerSaveRecord">
    <vt:lpwstr>eyJoZGlkIjoiNjQxMDZkYTMyNjhmZWJhZmU4MGQ5NDc5MDMwMWY0YWQiLCJ1c2VySWQiOiIyMjkyMDEyNTYifQ==</vt:lpwstr>
  </property>
</Properties>
</file>