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A07F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lang w:val="en-US" w:eastAsia="zh-CN"/>
        </w:rPr>
        <w:t>附件</w:t>
      </w:r>
    </w:p>
    <w:p w14:paraId="77D953F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val="en-US" w:eastAsia="zh-CN"/>
        </w:rPr>
      </w:pPr>
    </w:p>
    <w:p w14:paraId="676E69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微软雅黑" w:eastAsia="方正小标宋简体"/>
          <w:sz w:val="44"/>
          <w:szCs w:val="44"/>
          <w:highlight w:val="none"/>
          <w:shd w:val="clear" w:color="auto" w:fill="FFFFFF"/>
        </w:rPr>
      </w:pPr>
      <w:r>
        <w:rPr>
          <w:rFonts w:hint="eastAsia" w:ascii="方正小标宋简体" w:hAnsi="微软雅黑" w:eastAsia="方正小标宋简体"/>
          <w:sz w:val="44"/>
          <w:szCs w:val="44"/>
          <w:highlight w:val="none"/>
          <w:shd w:val="clear" w:color="auto" w:fill="FFFFFF"/>
        </w:rPr>
        <w:t>首都工匠学院2026年大客车驾驶</w:t>
      </w:r>
    </w:p>
    <w:p w14:paraId="4A6826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44"/>
          <w:szCs w:val="44"/>
          <w:highlight w:val="none"/>
          <w:lang w:val="en-US" w:eastAsia="zh-CN"/>
        </w:rPr>
      </w:pPr>
      <w:r>
        <w:rPr>
          <w:rFonts w:hint="eastAsia" w:ascii="方正小标宋简体" w:hAnsi="微软雅黑" w:eastAsia="方正小标宋简体"/>
          <w:sz w:val="44"/>
          <w:szCs w:val="44"/>
          <w:highlight w:val="none"/>
          <w:shd w:val="clear" w:color="auto" w:fill="FFFFFF"/>
        </w:rPr>
        <w:t>高技能人才培训班实施方案</w:t>
      </w:r>
    </w:p>
    <w:p w14:paraId="458FBF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highlight w:val="none"/>
          <w:lang w:eastAsia="zh-CN"/>
        </w:rPr>
      </w:pPr>
    </w:p>
    <w:p w14:paraId="3B5E1EF0">
      <w:pPr>
        <w:pStyle w:val="15"/>
        <w:pageBreakBefore w:val="0"/>
        <w:kinsoku/>
        <w:overflowPunct/>
        <w:topLinePunct w:val="0"/>
        <w:autoSpaceDE/>
        <w:autoSpaceDN/>
        <w:bidi w:val="0"/>
        <w:adjustRightInd/>
        <w:snapToGrid/>
        <w:spacing w:line="560" w:lineRule="exact"/>
        <w:ind w:firstLine="640"/>
        <w:jc w:val="left"/>
        <w:textAlignment w:val="auto"/>
        <w:rPr>
          <w:rFonts w:hint="eastAsia" w:eastAsiaTheme="minorEastAsia"/>
          <w:sz w:val="30"/>
          <w:szCs w:val="30"/>
          <w:highlight w:val="none"/>
          <w:lang w:eastAsia="zh-CN"/>
        </w:rPr>
      </w:pPr>
      <w:r>
        <w:rPr>
          <w:rFonts w:hint="eastAsia" w:ascii="黑体" w:hAnsi="黑体" w:eastAsia="黑体"/>
          <w:sz w:val="32"/>
          <w:szCs w:val="32"/>
          <w:highlight w:val="none"/>
        </w:rPr>
        <w:t>一、培</w:t>
      </w:r>
      <w:r>
        <w:rPr>
          <w:rFonts w:hint="eastAsia" w:ascii="黑体" w:hAnsi="黑体" w:eastAsia="黑体"/>
          <w:sz w:val="32"/>
          <w:szCs w:val="32"/>
          <w:highlight w:val="none"/>
          <w:lang w:val="en-US" w:eastAsia="zh-CN"/>
        </w:rPr>
        <w:t>训</w:t>
      </w:r>
      <w:r>
        <w:rPr>
          <w:rFonts w:hint="eastAsia" w:ascii="黑体" w:hAnsi="黑体" w:eastAsia="黑体"/>
          <w:sz w:val="32"/>
          <w:szCs w:val="32"/>
          <w:highlight w:val="none"/>
        </w:rPr>
        <w:t>目标</w:t>
      </w:r>
      <w:r>
        <w:rPr>
          <w:rFonts w:hint="eastAsia" w:ascii="仿宋_GB2312" w:hAnsi="仿宋_GB2312" w:eastAsia="仿宋_GB2312" w:cs="仿宋_GB2312"/>
          <w:sz w:val="30"/>
          <w:szCs w:val="30"/>
          <w:highlight w:val="none"/>
          <w:lang w:val="en-US" w:eastAsia="zh-CN"/>
        </w:rPr>
        <w:t xml:space="preserve"> </w:t>
      </w:r>
    </w:p>
    <w:p w14:paraId="2630BE56">
      <w:pPr>
        <w:pStyle w:val="15"/>
        <w:pageBreakBefore w:val="0"/>
        <w:kinsoku/>
        <w:overflowPunct/>
        <w:topLinePunct w:val="0"/>
        <w:autoSpaceDE/>
        <w:autoSpaceDN/>
        <w:bidi w:val="0"/>
        <w:adjustRightInd/>
        <w:snapToGrid/>
        <w:spacing w:line="560" w:lineRule="exact"/>
        <w:ind w:firstLine="640"/>
        <w:jc w:val="both"/>
        <w:textAlignment w:val="auto"/>
        <w:rPr>
          <w:rFonts w:hint="eastAsia" w:ascii="仿宋_GB2312" w:hAnsi="宋体" w:eastAsia="仿宋_GB2312" w:cs="仿宋_GB2312"/>
          <w:kern w:val="0"/>
          <w:sz w:val="32"/>
          <w:szCs w:val="32"/>
          <w:highlight w:val="none"/>
          <w:lang w:val="en-US" w:eastAsia="zh-CN" w:bidi="ar"/>
        </w:rPr>
      </w:pPr>
      <w:r>
        <w:rPr>
          <w:rFonts w:hint="eastAsia" w:ascii="仿宋_GB2312" w:hAnsi="宋体" w:eastAsia="仿宋_GB2312" w:cs="仿宋_GB2312"/>
          <w:kern w:val="0"/>
          <w:sz w:val="32"/>
          <w:szCs w:val="32"/>
          <w:highlight w:val="none"/>
          <w:lang w:val="en-US" w:eastAsia="zh-CN" w:bidi="ar"/>
        </w:rPr>
        <w:t>通过开展公益性培训，帮助学员熟练掌握各类大客车的驾驶技术，适应复杂多变的城市道路和长途客运环境，为乘客提供安全、高效、舒适的出行服务，培养一批具备扎实客车驾驶技能、应急处理能力以及创新能力的京津冀交通行业大客车驾驶领军人才。</w:t>
      </w:r>
    </w:p>
    <w:p w14:paraId="2DC6607B">
      <w:pPr>
        <w:pStyle w:val="15"/>
        <w:pageBreakBefore w:val="0"/>
        <w:kinsoku/>
        <w:overflowPunct/>
        <w:topLinePunct w:val="0"/>
        <w:autoSpaceDE/>
        <w:autoSpaceDN/>
        <w:bidi w:val="0"/>
        <w:adjustRightInd/>
        <w:snapToGrid/>
        <w:spacing w:line="560" w:lineRule="exact"/>
        <w:ind w:firstLine="640"/>
        <w:jc w:val="left"/>
        <w:textAlignment w:val="auto"/>
        <w:rPr>
          <w:rFonts w:hint="eastAsia" w:ascii="黑体" w:hAnsi="黑体" w:eastAsia="黑体"/>
          <w:sz w:val="32"/>
          <w:szCs w:val="32"/>
          <w:highlight w:val="none"/>
          <w:lang w:val="en-US" w:eastAsia="zh-CN"/>
        </w:rPr>
      </w:pPr>
      <w:r>
        <w:rPr>
          <w:rFonts w:hint="eastAsia" w:ascii="黑体" w:hAnsi="黑体" w:eastAsia="黑体"/>
          <w:sz w:val="32"/>
          <w:szCs w:val="32"/>
          <w:highlight w:val="none"/>
          <w:lang w:eastAsia="zh-CN"/>
        </w:rPr>
        <w:t>二</w:t>
      </w:r>
      <w:r>
        <w:rPr>
          <w:rFonts w:hint="eastAsia" w:ascii="黑体" w:hAnsi="黑体" w:eastAsia="黑体"/>
          <w:sz w:val="32"/>
          <w:szCs w:val="32"/>
          <w:highlight w:val="none"/>
        </w:rPr>
        <w:t>、培</w:t>
      </w:r>
      <w:r>
        <w:rPr>
          <w:rFonts w:hint="eastAsia" w:ascii="黑体" w:hAnsi="黑体" w:eastAsia="黑体"/>
          <w:sz w:val="32"/>
          <w:szCs w:val="32"/>
          <w:highlight w:val="none"/>
          <w:lang w:val="en-US" w:eastAsia="zh-CN"/>
        </w:rPr>
        <w:t>训</w:t>
      </w:r>
      <w:r>
        <w:rPr>
          <w:rFonts w:hint="eastAsia" w:ascii="黑体" w:hAnsi="黑体" w:eastAsia="黑体"/>
          <w:sz w:val="32"/>
          <w:szCs w:val="32"/>
          <w:highlight w:val="none"/>
        </w:rPr>
        <w:t>时间</w:t>
      </w:r>
      <w:r>
        <w:rPr>
          <w:rFonts w:hint="eastAsia" w:ascii="黑体" w:hAnsi="黑体" w:eastAsia="黑体"/>
          <w:sz w:val="32"/>
          <w:szCs w:val="32"/>
          <w:highlight w:val="none"/>
          <w:lang w:val="en-US" w:eastAsia="zh-CN"/>
        </w:rPr>
        <w:t>及培训人数</w:t>
      </w:r>
    </w:p>
    <w:p w14:paraId="5D7BED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b w:val="0"/>
          <w:bCs/>
          <w:sz w:val="32"/>
          <w:szCs w:val="32"/>
          <w:highlight w:val="none"/>
          <w:lang w:val="en-US" w:eastAsia="zh-CN"/>
        </w:rPr>
      </w:pPr>
      <w:r>
        <w:rPr>
          <w:rFonts w:hint="eastAsia" w:ascii="仿宋_GB2312" w:hAnsi="宋体" w:eastAsia="仿宋_GB2312" w:cs="仿宋_GB2312"/>
          <w:kern w:val="0"/>
          <w:sz w:val="32"/>
          <w:szCs w:val="32"/>
          <w:highlight w:val="none"/>
          <w:lang w:val="en-US" w:eastAsia="zh-CN" w:bidi="ar"/>
        </w:rPr>
        <w:t>1.培训时间：2026年8月21日至8月25日，共计40学时。</w:t>
      </w:r>
    </w:p>
    <w:p w14:paraId="0C26CA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kern w:val="0"/>
          <w:sz w:val="32"/>
          <w:szCs w:val="32"/>
          <w:highlight w:val="none"/>
          <w:lang w:val="en-US" w:eastAsia="zh-CN" w:bidi="ar"/>
        </w:rPr>
      </w:pPr>
      <w:r>
        <w:rPr>
          <w:rFonts w:hint="eastAsia" w:ascii="仿宋_GB2312" w:hAnsi="宋体" w:eastAsia="仿宋_GB2312" w:cs="仿宋_GB2312"/>
          <w:kern w:val="0"/>
          <w:sz w:val="32"/>
          <w:szCs w:val="32"/>
          <w:highlight w:val="none"/>
          <w:lang w:val="en-US" w:eastAsia="zh-CN" w:bidi="ar"/>
        </w:rPr>
        <w:t>2.培训人数：50人。</w:t>
      </w:r>
    </w:p>
    <w:p w14:paraId="7324CB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highlight w:val="none"/>
          <w:lang w:val="en-US" w:eastAsia="zh-CN" w:bidi="ar-SA"/>
        </w:rPr>
      </w:pPr>
      <w:r>
        <w:rPr>
          <w:rFonts w:hint="eastAsia" w:ascii="黑体" w:hAnsi="黑体" w:eastAsia="黑体" w:cstheme="minorBidi"/>
          <w:kern w:val="2"/>
          <w:sz w:val="32"/>
          <w:szCs w:val="32"/>
          <w:highlight w:val="none"/>
          <w:lang w:val="en-US" w:eastAsia="zh-CN" w:bidi="ar-SA"/>
        </w:rPr>
        <w:t>三、培训对象</w:t>
      </w:r>
    </w:p>
    <w:p w14:paraId="120814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heme="minorBidi"/>
          <w:kern w:val="2"/>
          <w:sz w:val="32"/>
          <w:szCs w:val="32"/>
          <w:highlight w:val="none"/>
          <w:lang w:val="en-US" w:eastAsia="zh-CN" w:bidi="ar-SA"/>
        </w:rPr>
      </w:pPr>
      <w:r>
        <w:rPr>
          <w:rFonts w:hint="eastAsia" w:ascii="仿宋_GB2312" w:hAnsi="宋体" w:eastAsia="仿宋_GB2312" w:cs="仿宋_GB2312"/>
          <w:kern w:val="0"/>
          <w:sz w:val="32"/>
          <w:szCs w:val="32"/>
          <w:highlight w:val="none"/>
          <w:lang w:val="en-US" w:eastAsia="zh-CN" w:bidi="ar"/>
        </w:rPr>
        <w:t>在客车驾驶领域有创新成果或带领团队取得显著成绩的职工创新工作室成员；市级职业技能大赛、京津冀技能大赛中表现突出的客车驾驶员参赛选手；在客车驾驶及相关技术研发一线工作，掌握相关技能并有一定实践经验的职工；其他在交通行业有突出贡献或具备高级工及以上职业技能等级的客车驾驶员。</w:t>
      </w:r>
    </w:p>
    <w:p w14:paraId="3E78A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highlight w:val="none"/>
          <w:lang w:val="en-US" w:eastAsia="zh-CN" w:bidi="ar-SA"/>
        </w:rPr>
      </w:pPr>
      <w:r>
        <w:rPr>
          <w:rFonts w:hint="eastAsia" w:ascii="黑体" w:hAnsi="黑体" w:eastAsia="黑体" w:cstheme="minorBidi"/>
          <w:kern w:val="2"/>
          <w:sz w:val="32"/>
          <w:szCs w:val="32"/>
          <w:highlight w:val="none"/>
          <w:lang w:val="en-US" w:eastAsia="zh-CN" w:bidi="ar-SA"/>
        </w:rPr>
        <w:t>四、培训内容</w:t>
      </w:r>
    </w:p>
    <w:p w14:paraId="2649668E">
      <w:pPr>
        <w:pStyle w:val="2"/>
        <w:pageBreakBefore w:val="0"/>
        <w:kinsoku/>
        <w:overflowPunct/>
        <w:topLinePunct w:val="0"/>
        <w:autoSpaceDE/>
        <w:autoSpaceDN/>
        <w:bidi w:val="0"/>
        <w:adjustRightInd/>
        <w:snapToGrid/>
        <w:spacing w:before="0" w:after="0" w:line="560" w:lineRule="exact"/>
        <w:textAlignment w:val="auto"/>
        <w:rPr>
          <w:rFonts w:hint="eastAsia"/>
          <w:highlight w:val="none"/>
          <w:lang w:val="en-US" w:eastAsia="zh-CN"/>
        </w:rPr>
      </w:pPr>
    </w:p>
    <w:tbl>
      <w:tblPr>
        <w:tblStyle w:val="11"/>
        <w:tblW w:w="8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869"/>
        <w:gridCol w:w="4712"/>
        <w:gridCol w:w="1245"/>
        <w:gridCol w:w="722"/>
      </w:tblGrid>
      <w:tr w14:paraId="18D7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2117" w:type="dxa"/>
            <w:gridSpan w:val="2"/>
            <w:vAlign w:val="center"/>
          </w:tcPr>
          <w:p w14:paraId="0C06B894">
            <w:pPr>
              <w:pageBreakBefore w:val="0"/>
              <w:kinsoku/>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4"/>
                <w:highlight w:val="none"/>
              </w:rPr>
            </w:pPr>
            <w:r>
              <w:rPr>
                <w:rFonts w:hint="eastAsia" w:ascii="黑体" w:hAnsi="黑体" w:eastAsia="黑体" w:cs="黑体"/>
                <w:b w:val="0"/>
                <w:bCs w:val="0"/>
                <w:sz w:val="24"/>
                <w:highlight w:val="none"/>
                <w:lang w:val="en-US" w:eastAsia="zh-CN"/>
              </w:rPr>
              <w:t>培训</w:t>
            </w:r>
            <w:r>
              <w:rPr>
                <w:rFonts w:hint="eastAsia" w:ascii="黑体" w:hAnsi="黑体" w:eastAsia="黑体" w:cs="黑体"/>
                <w:b w:val="0"/>
                <w:bCs w:val="0"/>
                <w:sz w:val="24"/>
                <w:highlight w:val="none"/>
              </w:rPr>
              <w:t>时间</w:t>
            </w:r>
          </w:p>
        </w:tc>
        <w:tc>
          <w:tcPr>
            <w:tcW w:w="4712" w:type="dxa"/>
            <w:vAlign w:val="center"/>
          </w:tcPr>
          <w:p w14:paraId="5D453B2B">
            <w:pPr>
              <w:pageBreakBefore w:val="0"/>
              <w:kinsoku/>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4"/>
                <w:highlight w:val="none"/>
              </w:rPr>
            </w:pPr>
            <w:r>
              <w:rPr>
                <w:rFonts w:hint="eastAsia" w:ascii="黑体" w:hAnsi="黑体" w:eastAsia="黑体" w:cs="黑体"/>
                <w:b w:val="0"/>
                <w:bCs w:val="0"/>
                <w:sz w:val="24"/>
                <w:highlight w:val="none"/>
              </w:rPr>
              <w:t>课程名称</w:t>
            </w:r>
          </w:p>
        </w:tc>
        <w:tc>
          <w:tcPr>
            <w:tcW w:w="1245" w:type="dxa"/>
            <w:vAlign w:val="center"/>
          </w:tcPr>
          <w:p w14:paraId="06B95007">
            <w:pPr>
              <w:pageBreakBefore w:val="0"/>
              <w:kinsoku/>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4"/>
                <w:highlight w:val="none"/>
              </w:rPr>
            </w:pPr>
            <w:r>
              <w:rPr>
                <w:rFonts w:hint="eastAsia" w:ascii="黑体" w:hAnsi="黑体" w:eastAsia="黑体" w:cs="黑体"/>
                <w:b w:val="0"/>
                <w:bCs w:val="0"/>
                <w:sz w:val="24"/>
                <w:highlight w:val="none"/>
              </w:rPr>
              <w:t>培训方式</w:t>
            </w:r>
          </w:p>
        </w:tc>
        <w:tc>
          <w:tcPr>
            <w:tcW w:w="722" w:type="dxa"/>
            <w:vAlign w:val="center"/>
          </w:tcPr>
          <w:p w14:paraId="083DDC3A">
            <w:pPr>
              <w:pageBreakBefore w:val="0"/>
              <w:kinsoku/>
              <w:overflowPunct/>
              <w:topLinePunct w:val="0"/>
              <w:autoSpaceDE/>
              <w:autoSpaceDN/>
              <w:bidi w:val="0"/>
              <w:adjustRightInd/>
              <w:snapToGrid/>
              <w:spacing w:line="240" w:lineRule="auto"/>
              <w:jc w:val="center"/>
              <w:textAlignment w:val="auto"/>
              <w:rPr>
                <w:rFonts w:hint="eastAsia" w:ascii="黑体" w:hAnsi="黑体" w:eastAsia="黑体" w:cs="黑体"/>
                <w:b w:val="0"/>
                <w:bCs w:val="0"/>
                <w:sz w:val="24"/>
                <w:highlight w:val="none"/>
              </w:rPr>
            </w:pPr>
            <w:r>
              <w:rPr>
                <w:rFonts w:hint="eastAsia" w:ascii="黑体" w:hAnsi="黑体" w:eastAsia="黑体" w:cs="黑体"/>
                <w:b w:val="0"/>
                <w:bCs w:val="0"/>
                <w:sz w:val="24"/>
                <w:highlight w:val="none"/>
              </w:rPr>
              <w:t>学时</w:t>
            </w:r>
          </w:p>
        </w:tc>
      </w:tr>
      <w:tr w14:paraId="0B3C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8" w:type="dxa"/>
            <w:vMerge w:val="restart"/>
            <w:vAlign w:val="center"/>
          </w:tcPr>
          <w:p w14:paraId="7D2B7CDA">
            <w:pPr>
              <w:pageBreakBefore w:val="0"/>
              <w:kinsoku/>
              <w:overflowPunct/>
              <w:topLinePunct w:val="0"/>
              <w:autoSpaceDE/>
              <w:autoSpaceDN/>
              <w:bidi w:val="0"/>
              <w:adjustRightInd/>
              <w:snapToGrid/>
              <w:spacing w:line="240" w:lineRule="auto"/>
              <w:jc w:val="both"/>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8</w:t>
            </w:r>
            <w:r>
              <w:rPr>
                <w:rFonts w:hint="eastAsia" w:ascii="仿宋_GB2312" w:eastAsia="仿宋_GB2312"/>
                <w:sz w:val="24"/>
                <w:highlight w:val="none"/>
                <w:lang w:eastAsia="zh-CN"/>
              </w:rPr>
              <w:t>月</w:t>
            </w:r>
            <w:r>
              <w:rPr>
                <w:rFonts w:hint="eastAsia" w:ascii="仿宋_GB2312" w:eastAsia="仿宋_GB2312"/>
                <w:sz w:val="24"/>
                <w:highlight w:val="none"/>
                <w:lang w:val="en-US" w:eastAsia="zh-CN"/>
              </w:rPr>
              <w:t>21</w:t>
            </w:r>
            <w:r>
              <w:rPr>
                <w:rFonts w:hint="eastAsia" w:ascii="仿宋_GB2312" w:eastAsia="仿宋_GB2312"/>
                <w:sz w:val="24"/>
                <w:highlight w:val="none"/>
                <w:lang w:eastAsia="zh-CN"/>
              </w:rPr>
              <w:t>日</w:t>
            </w:r>
          </w:p>
        </w:tc>
        <w:tc>
          <w:tcPr>
            <w:tcW w:w="869" w:type="dxa"/>
            <w:vAlign w:val="center"/>
          </w:tcPr>
          <w:p w14:paraId="0BCB72F4">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r>
              <w:rPr>
                <w:rFonts w:hint="eastAsia" w:ascii="仿宋_GB2312" w:hAnsi="宋体" w:eastAsia="仿宋_GB2312" w:cs="宋体"/>
                <w:sz w:val="24"/>
                <w:highlight w:val="none"/>
                <w:lang w:val="en-US" w:eastAsia="zh-CN"/>
              </w:rPr>
              <w:t>上午</w:t>
            </w:r>
          </w:p>
        </w:tc>
        <w:tc>
          <w:tcPr>
            <w:tcW w:w="4712" w:type="dxa"/>
            <w:vAlign w:val="center"/>
          </w:tcPr>
          <w:p w14:paraId="7BD09C07">
            <w:pPr>
              <w:pageBreakBefore w:val="0"/>
              <w:kinsoku/>
              <w:overflowPunct/>
              <w:topLinePunct w:val="0"/>
              <w:autoSpaceDE/>
              <w:autoSpaceDN/>
              <w:bidi w:val="0"/>
              <w:adjustRightInd/>
              <w:snapToGrid/>
              <w:spacing w:line="240" w:lineRule="auto"/>
              <w:jc w:val="both"/>
              <w:textAlignment w:val="auto"/>
              <w:rPr>
                <w:rFonts w:hint="default"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1.三个精神宣讲</w:t>
            </w:r>
          </w:p>
          <w:p w14:paraId="0A6F4B9E">
            <w:pPr>
              <w:pageBreakBefore w:val="0"/>
              <w:kinsoku/>
              <w:overflowPunct/>
              <w:topLinePunct w:val="0"/>
              <w:autoSpaceDE/>
              <w:autoSpaceDN/>
              <w:bidi w:val="0"/>
              <w:adjustRightInd/>
              <w:snapToGrid/>
              <w:spacing w:line="240" w:lineRule="auto"/>
              <w:jc w:val="both"/>
              <w:textAlignment w:val="auto"/>
              <w:rPr>
                <w:rFonts w:hint="default" w:ascii="仿宋_GB2312" w:eastAsia="仿宋_GB2312" w:cs="Times New Roman"/>
                <w:sz w:val="24"/>
                <w:highlight w:val="none"/>
                <w:lang w:val="en-US" w:eastAsia="zh-CN"/>
              </w:rPr>
            </w:pPr>
            <w:r>
              <w:rPr>
                <w:rFonts w:hint="eastAsia" w:ascii="仿宋_GB2312" w:hAnsi="仿宋_GB2312" w:eastAsia="仿宋_GB2312" w:cs="仿宋_GB2312"/>
                <w:b w:val="0"/>
                <w:bCs w:val="0"/>
                <w:sz w:val="24"/>
                <w:szCs w:val="24"/>
                <w:highlight w:val="none"/>
                <w:lang w:val="en-US" w:eastAsia="zh-CN"/>
              </w:rPr>
              <w:t>2.</w:t>
            </w:r>
            <w:r>
              <w:rPr>
                <w:rFonts w:hint="eastAsia" w:ascii="仿宋_GB2312" w:hAnsi="仿宋_GB2312" w:eastAsia="仿宋_GB2312" w:cs="仿宋_GB2312"/>
                <w:b w:val="0"/>
                <w:bCs w:val="0"/>
                <w:sz w:val="24"/>
                <w:szCs w:val="24"/>
                <w:highlight w:val="none"/>
              </w:rPr>
              <w:t>团队赋能与技术传承能力提升</w:t>
            </w:r>
          </w:p>
        </w:tc>
        <w:tc>
          <w:tcPr>
            <w:tcW w:w="1245" w:type="dxa"/>
            <w:vAlign w:val="center"/>
          </w:tcPr>
          <w:p w14:paraId="47BE6B20">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sz w:val="24"/>
                <w:highlight w:val="none"/>
                <w:lang w:val="en-US" w:eastAsia="zh-CN"/>
              </w:rPr>
            </w:pPr>
            <w:r>
              <w:rPr>
                <w:rFonts w:hint="eastAsia" w:ascii="仿宋_GB2312" w:eastAsia="仿宋_GB2312" w:cs="Times New Roman"/>
                <w:sz w:val="24"/>
                <w:highlight w:val="none"/>
                <w:lang w:val="en-US" w:eastAsia="zh-CN"/>
              </w:rPr>
              <w:t>理论</w:t>
            </w:r>
          </w:p>
        </w:tc>
        <w:tc>
          <w:tcPr>
            <w:tcW w:w="722" w:type="dxa"/>
            <w:vAlign w:val="center"/>
          </w:tcPr>
          <w:p w14:paraId="7CDC0FA1">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sz w:val="24"/>
                <w:highlight w:val="none"/>
                <w:lang w:val="en-US" w:eastAsia="zh-CN"/>
              </w:rPr>
            </w:pPr>
            <w:r>
              <w:rPr>
                <w:rFonts w:hint="eastAsia" w:ascii="仿宋_GB2312" w:eastAsia="仿宋_GB2312" w:cs="Times New Roman"/>
                <w:sz w:val="24"/>
                <w:highlight w:val="none"/>
                <w:lang w:val="en-US" w:eastAsia="zh-CN"/>
              </w:rPr>
              <w:t>4</w:t>
            </w:r>
          </w:p>
        </w:tc>
      </w:tr>
      <w:tr w14:paraId="7756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8" w:type="dxa"/>
            <w:vMerge w:val="continue"/>
            <w:vAlign w:val="center"/>
          </w:tcPr>
          <w:p w14:paraId="6772B8E6">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p>
        </w:tc>
        <w:tc>
          <w:tcPr>
            <w:tcW w:w="869" w:type="dxa"/>
            <w:vAlign w:val="center"/>
          </w:tcPr>
          <w:p w14:paraId="186F7CB1">
            <w:pPr>
              <w:pageBreakBefore w:val="0"/>
              <w:kinsoku/>
              <w:overflowPunct/>
              <w:topLinePunct w:val="0"/>
              <w:autoSpaceDE/>
              <w:autoSpaceDN/>
              <w:bidi w:val="0"/>
              <w:adjustRightInd/>
              <w:snapToGrid/>
              <w:spacing w:line="240" w:lineRule="auto"/>
              <w:jc w:val="both"/>
              <w:textAlignment w:val="auto"/>
              <w:rPr>
                <w:rFonts w:hint="default" w:ascii="仿宋_GB2312" w:hAnsi="宋体" w:eastAsia="仿宋_GB2312" w:cs="宋体"/>
                <w:sz w:val="24"/>
                <w:highlight w:val="none"/>
                <w:lang w:val="en-US" w:eastAsia="zh-CN"/>
              </w:rPr>
            </w:pPr>
            <w:r>
              <w:rPr>
                <w:rFonts w:hint="eastAsia" w:ascii="仿宋_GB2312" w:hAnsi="宋体" w:eastAsia="仿宋_GB2312" w:cs="宋体"/>
                <w:sz w:val="24"/>
                <w:highlight w:val="none"/>
                <w:lang w:val="en-US" w:eastAsia="zh-CN"/>
              </w:rPr>
              <w:t>下午</w:t>
            </w:r>
          </w:p>
        </w:tc>
        <w:tc>
          <w:tcPr>
            <w:tcW w:w="4712" w:type="dxa"/>
            <w:vAlign w:val="center"/>
          </w:tcPr>
          <w:p w14:paraId="6EBBE36F">
            <w:pPr>
              <w:pageBreakBefore w:val="0"/>
              <w:kinsoku/>
              <w:overflowPunct/>
              <w:topLinePunct w:val="0"/>
              <w:autoSpaceDE/>
              <w:autoSpaceDN/>
              <w:bidi w:val="0"/>
              <w:adjustRightInd/>
              <w:snapToGrid/>
              <w:spacing w:line="240" w:lineRule="auto"/>
              <w:jc w:val="both"/>
              <w:textAlignment w:val="auto"/>
              <w:rPr>
                <w:rFonts w:hint="default" w:ascii="仿宋_GB2312" w:eastAsia="仿宋_GB2312" w:cs="Times New Roman"/>
                <w:b w:val="0"/>
                <w:bCs w:val="0"/>
                <w:color w:val="auto"/>
                <w:sz w:val="24"/>
                <w:highlight w:val="none"/>
                <w:lang w:val="en-US" w:eastAsia="zh-CN"/>
              </w:rPr>
            </w:pPr>
            <w:r>
              <w:rPr>
                <w:rFonts w:hint="eastAsia" w:ascii="仿宋_GB2312" w:hAnsi="仿宋_GB2312" w:eastAsia="仿宋_GB2312" w:cs="仿宋_GB2312"/>
                <w:b w:val="0"/>
                <w:bCs w:val="0"/>
                <w:sz w:val="24"/>
                <w:szCs w:val="24"/>
                <w:highlight w:val="none"/>
              </w:rPr>
              <w:t>复杂场景安全驾驶与风险防控</w:t>
            </w:r>
          </w:p>
        </w:tc>
        <w:tc>
          <w:tcPr>
            <w:tcW w:w="1245" w:type="dxa"/>
            <w:vAlign w:val="center"/>
          </w:tcPr>
          <w:p w14:paraId="354DFECE">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color w:val="auto"/>
                <w:sz w:val="24"/>
                <w:highlight w:val="none"/>
                <w:lang w:val="en-US" w:eastAsia="zh-CN"/>
              </w:rPr>
            </w:pPr>
            <w:r>
              <w:rPr>
                <w:rFonts w:hint="eastAsia" w:ascii="仿宋_GB2312" w:eastAsia="仿宋_GB2312" w:cs="Times New Roman"/>
                <w:color w:val="auto"/>
                <w:sz w:val="24"/>
                <w:highlight w:val="none"/>
                <w:lang w:val="en-US" w:eastAsia="zh-CN"/>
              </w:rPr>
              <w:t>理论</w:t>
            </w:r>
          </w:p>
        </w:tc>
        <w:tc>
          <w:tcPr>
            <w:tcW w:w="722" w:type="dxa"/>
            <w:vAlign w:val="center"/>
          </w:tcPr>
          <w:p w14:paraId="5C01A5A2">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sz w:val="24"/>
                <w:highlight w:val="none"/>
                <w:lang w:val="en-US" w:eastAsia="zh-CN"/>
              </w:rPr>
            </w:pPr>
            <w:r>
              <w:rPr>
                <w:rFonts w:hint="eastAsia" w:ascii="仿宋_GB2312" w:eastAsia="仿宋_GB2312" w:cs="Times New Roman"/>
                <w:sz w:val="24"/>
                <w:highlight w:val="none"/>
                <w:lang w:val="en-US" w:eastAsia="zh-CN"/>
              </w:rPr>
              <w:t>4</w:t>
            </w:r>
          </w:p>
        </w:tc>
      </w:tr>
      <w:tr w14:paraId="34F8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248" w:type="dxa"/>
            <w:vMerge w:val="restart"/>
            <w:vAlign w:val="center"/>
          </w:tcPr>
          <w:p w14:paraId="243965C8">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r>
              <w:rPr>
                <w:rFonts w:hint="eastAsia" w:ascii="仿宋_GB2312" w:eastAsia="仿宋_GB2312"/>
                <w:sz w:val="24"/>
                <w:highlight w:val="none"/>
                <w:lang w:val="en-US" w:eastAsia="zh-CN"/>
              </w:rPr>
              <w:t>8</w:t>
            </w:r>
            <w:r>
              <w:rPr>
                <w:rFonts w:hint="eastAsia" w:ascii="仿宋_GB2312" w:eastAsia="仿宋_GB2312"/>
                <w:sz w:val="24"/>
                <w:highlight w:val="none"/>
                <w:lang w:eastAsia="zh-CN"/>
              </w:rPr>
              <w:t>月</w:t>
            </w:r>
            <w:r>
              <w:rPr>
                <w:rFonts w:hint="eastAsia" w:ascii="仿宋_GB2312" w:eastAsia="仿宋_GB2312"/>
                <w:sz w:val="24"/>
                <w:highlight w:val="none"/>
                <w:lang w:val="en-US" w:eastAsia="zh-CN"/>
              </w:rPr>
              <w:t>22</w:t>
            </w:r>
            <w:r>
              <w:rPr>
                <w:rFonts w:hint="eastAsia" w:ascii="仿宋_GB2312" w:eastAsia="仿宋_GB2312"/>
                <w:sz w:val="24"/>
                <w:highlight w:val="none"/>
                <w:lang w:eastAsia="zh-CN"/>
              </w:rPr>
              <w:t>日</w:t>
            </w:r>
          </w:p>
        </w:tc>
        <w:tc>
          <w:tcPr>
            <w:tcW w:w="869" w:type="dxa"/>
            <w:vAlign w:val="center"/>
          </w:tcPr>
          <w:p w14:paraId="2420D607">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kern w:val="2"/>
                <w:sz w:val="24"/>
                <w:szCs w:val="22"/>
                <w:highlight w:val="none"/>
                <w:lang w:val="en-US" w:eastAsia="zh-CN" w:bidi="ar-SA"/>
              </w:rPr>
            </w:pPr>
            <w:r>
              <w:rPr>
                <w:rFonts w:hint="eastAsia" w:ascii="仿宋_GB2312" w:hAnsi="宋体" w:eastAsia="仿宋_GB2312" w:cs="宋体"/>
                <w:sz w:val="24"/>
                <w:highlight w:val="none"/>
                <w:lang w:val="en-US" w:eastAsia="zh-CN"/>
              </w:rPr>
              <w:t>上午</w:t>
            </w:r>
          </w:p>
        </w:tc>
        <w:tc>
          <w:tcPr>
            <w:tcW w:w="4712" w:type="dxa"/>
            <w:vAlign w:val="center"/>
          </w:tcPr>
          <w:p w14:paraId="4002F2CC">
            <w:pPr>
              <w:pageBreakBefore w:val="0"/>
              <w:kinsoku/>
              <w:overflowPunct/>
              <w:topLinePunct w:val="0"/>
              <w:autoSpaceDE/>
              <w:autoSpaceDN/>
              <w:bidi w:val="0"/>
              <w:adjustRightInd/>
              <w:snapToGrid/>
              <w:spacing w:line="240" w:lineRule="auto"/>
              <w:jc w:val="both"/>
              <w:textAlignment w:val="auto"/>
              <w:rPr>
                <w:rFonts w:hint="eastAsia" w:ascii="仿宋_GB2312" w:eastAsia="仿宋_GB2312" w:cs="Times New Roman"/>
                <w:b w:val="0"/>
                <w:bCs/>
                <w:color w:val="auto"/>
                <w:sz w:val="24"/>
                <w:szCs w:val="24"/>
                <w:highlight w:val="none"/>
                <w:lang w:val="en-US" w:eastAsia="zh-CN"/>
              </w:rPr>
            </w:pPr>
            <w:r>
              <w:rPr>
                <w:rFonts w:hint="eastAsia" w:ascii="仿宋_GB2312" w:hAnsi="仿宋_GB2312" w:eastAsia="仿宋_GB2312" w:cs="仿宋_GB2312"/>
                <w:b w:val="0"/>
                <w:bCs/>
                <w:sz w:val="24"/>
                <w:szCs w:val="24"/>
                <w:highlight w:val="none"/>
              </w:rPr>
              <w:t>智能网联公交前沿技术与应用</w:t>
            </w:r>
            <w:r>
              <w:rPr>
                <w:rFonts w:hint="eastAsia" w:ascii="仿宋_GB2312" w:hAnsi="仿宋_GB2312" w:eastAsia="仿宋_GB2312" w:cs="仿宋_GB2312"/>
                <w:b w:val="0"/>
                <w:bCs/>
                <w:sz w:val="24"/>
                <w:szCs w:val="24"/>
                <w:highlight w:val="none"/>
                <w:lang w:val="en-US" w:eastAsia="zh-CN"/>
              </w:rPr>
              <w:t>课程</w:t>
            </w:r>
          </w:p>
        </w:tc>
        <w:tc>
          <w:tcPr>
            <w:tcW w:w="1245" w:type="dxa"/>
            <w:vAlign w:val="center"/>
          </w:tcPr>
          <w:p w14:paraId="57BFCBEE">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color w:val="auto"/>
                <w:sz w:val="24"/>
                <w:highlight w:val="none"/>
                <w:lang w:val="en-US" w:eastAsia="zh-CN"/>
              </w:rPr>
            </w:pPr>
            <w:r>
              <w:rPr>
                <w:rFonts w:hint="eastAsia" w:ascii="仿宋_GB2312" w:eastAsia="仿宋_GB2312" w:cs="Times New Roman"/>
                <w:color w:val="auto"/>
                <w:sz w:val="24"/>
                <w:highlight w:val="none"/>
                <w:lang w:val="en-US" w:eastAsia="zh-CN"/>
              </w:rPr>
              <w:t>理论</w:t>
            </w:r>
          </w:p>
        </w:tc>
        <w:tc>
          <w:tcPr>
            <w:tcW w:w="722" w:type="dxa"/>
            <w:vAlign w:val="center"/>
          </w:tcPr>
          <w:p w14:paraId="3FA16510">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sz w:val="24"/>
                <w:highlight w:val="none"/>
                <w:lang w:val="en-US" w:eastAsia="zh-CN"/>
              </w:rPr>
            </w:pPr>
            <w:r>
              <w:rPr>
                <w:rFonts w:hint="eastAsia" w:ascii="仿宋_GB2312" w:eastAsia="仿宋_GB2312" w:cs="Times New Roman"/>
                <w:sz w:val="24"/>
                <w:highlight w:val="none"/>
                <w:lang w:val="en-US" w:eastAsia="zh-CN"/>
              </w:rPr>
              <w:t>4</w:t>
            </w:r>
          </w:p>
        </w:tc>
      </w:tr>
      <w:tr w14:paraId="6CDE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exact"/>
          <w:jc w:val="center"/>
        </w:trPr>
        <w:tc>
          <w:tcPr>
            <w:tcW w:w="1248" w:type="dxa"/>
            <w:vMerge w:val="continue"/>
            <w:vAlign w:val="center"/>
          </w:tcPr>
          <w:p w14:paraId="68E79896">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p>
        </w:tc>
        <w:tc>
          <w:tcPr>
            <w:tcW w:w="869" w:type="dxa"/>
            <w:vAlign w:val="center"/>
          </w:tcPr>
          <w:p w14:paraId="0B5CAFC7">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kern w:val="2"/>
                <w:sz w:val="24"/>
                <w:szCs w:val="22"/>
                <w:highlight w:val="none"/>
                <w:lang w:val="en-US" w:eastAsia="zh-CN" w:bidi="ar-SA"/>
              </w:rPr>
            </w:pPr>
            <w:r>
              <w:rPr>
                <w:rFonts w:hint="eastAsia" w:ascii="仿宋_GB2312" w:hAnsi="宋体" w:eastAsia="仿宋_GB2312" w:cs="宋体"/>
                <w:sz w:val="24"/>
                <w:highlight w:val="none"/>
                <w:lang w:val="en-US" w:eastAsia="zh-CN"/>
              </w:rPr>
              <w:t>下午</w:t>
            </w:r>
          </w:p>
        </w:tc>
        <w:tc>
          <w:tcPr>
            <w:tcW w:w="4712" w:type="dxa"/>
            <w:vAlign w:val="center"/>
          </w:tcPr>
          <w:p w14:paraId="6A460A01">
            <w:pPr>
              <w:pageBreakBefore w:val="0"/>
              <w:kinsoku/>
              <w:overflowPunct/>
              <w:topLinePunct w:val="0"/>
              <w:autoSpaceDE/>
              <w:autoSpaceDN/>
              <w:bidi w:val="0"/>
              <w:adjustRightInd/>
              <w:snapToGrid/>
              <w:spacing w:line="240" w:lineRule="auto"/>
              <w:jc w:val="both"/>
              <w:textAlignment w:val="auto"/>
              <w:rPr>
                <w:rFonts w:hint="default" w:ascii="仿宋_GB2312" w:eastAsia="仿宋_GB2312" w:cs="Times New Roman"/>
                <w:b w:val="0"/>
                <w:bCs/>
                <w:color w:val="auto"/>
                <w:sz w:val="24"/>
                <w:szCs w:val="24"/>
                <w:highlight w:val="none"/>
                <w:lang w:val="en-US" w:eastAsia="zh-CN"/>
              </w:rPr>
            </w:pPr>
            <w:r>
              <w:rPr>
                <w:rFonts w:hint="eastAsia" w:ascii="仿宋_GB2312" w:hAnsi="仿宋_GB2312" w:eastAsia="仿宋_GB2312" w:cs="仿宋_GB2312"/>
                <w:b w:val="0"/>
                <w:bCs/>
                <w:sz w:val="24"/>
                <w:szCs w:val="24"/>
                <w:highlight w:val="none"/>
                <w:lang w:val="en-US" w:eastAsia="zh-CN"/>
              </w:rPr>
              <w:t>高技能人才</w:t>
            </w:r>
            <w:r>
              <w:rPr>
                <w:rFonts w:hint="eastAsia" w:ascii="仿宋_GB2312" w:hAnsi="仿宋_GB2312" w:eastAsia="仿宋_GB2312" w:cs="仿宋_GB2312"/>
                <w:b w:val="0"/>
                <w:bCs/>
                <w:sz w:val="24"/>
                <w:szCs w:val="24"/>
                <w:highlight w:val="none"/>
              </w:rPr>
              <w:t>课题研发基础与选题技巧</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数据收集、分析与研究方法</w:t>
            </w:r>
          </w:p>
        </w:tc>
        <w:tc>
          <w:tcPr>
            <w:tcW w:w="1245" w:type="dxa"/>
            <w:vAlign w:val="center"/>
          </w:tcPr>
          <w:p w14:paraId="5A9CE5CC">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color w:val="auto"/>
                <w:sz w:val="24"/>
                <w:highlight w:val="none"/>
                <w:lang w:val="en-US" w:eastAsia="zh-CN"/>
              </w:rPr>
            </w:pPr>
            <w:r>
              <w:rPr>
                <w:rFonts w:hint="eastAsia" w:ascii="仿宋_GB2312" w:eastAsia="仿宋_GB2312" w:cs="Times New Roman"/>
                <w:color w:val="auto"/>
                <w:sz w:val="24"/>
                <w:highlight w:val="none"/>
                <w:lang w:val="en-US" w:eastAsia="zh-CN"/>
              </w:rPr>
              <w:t>理论</w:t>
            </w:r>
          </w:p>
        </w:tc>
        <w:tc>
          <w:tcPr>
            <w:tcW w:w="722" w:type="dxa"/>
            <w:vAlign w:val="center"/>
          </w:tcPr>
          <w:p w14:paraId="7DAA9161">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sz w:val="24"/>
                <w:highlight w:val="none"/>
                <w:lang w:val="en-US" w:eastAsia="zh-CN"/>
              </w:rPr>
            </w:pPr>
            <w:r>
              <w:rPr>
                <w:rFonts w:hint="eastAsia" w:ascii="仿宋_GB2312" w:eastAsia="仿宋_GB2312" w:cs="Times New Roman"/>
                <w:sz w:val="24"/>
                <w:highlight w:val="none"/>
                <w:lang w:val="en-US" w:eastAsia="zh-CN"/>
              </w:rPr>
              <w:t>4</w:t>
            </w:r>
          </w:p>
        </w:tc>
      </w:tr>
      <w:tr w14:paraId="75B7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1248" w:type="dxa"/>
            <w:vMerge w:val="restart"/>
            <w:vAlign w:val="center"/>
          </w:tcPr>
          <w:p w14:paraId="04862F7C">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r>
              <w:rPr>
                <w:rFonts w:hint="eastAsia" w:ascii="仿宋_GB2312" w:eastAsia="仿宋_GB2312"/>
                <w:sz w:val="24"/>
                <w:highlight w:val="none"/>
                <w:lang w:val="en-US" w:eastAsia="zh-CN"/>
              </w:rPr>
              <w:t>8</w:t>
            </w:r>
            <w:r>
              <w:rPr>
                <w:rFonts w:hint="eastAsia" w:ascii="仿宋_GB2312" w:eastAsia="仿宋_GB2312"/>
                <w:sz w:val="24"/>
                <w:highlight w:val="none"/>
                <w:lang w:eastAsia="zh-CN"/>
              </w:rPr>
              <w:t>月</w:t>
            </w:r>
            <w:r>
              <w:rPr>
                <w:rFonts w:hint="eastAsia" w:ascii="仿宋_GB2312" w:eastAsia="仿宋_GB2312"/>
                <w:sz w:val="24"/>
                <w:highlight w:val="none"/>
                <w:lang w:val="en-US" w:eastAsia="zh-CN"/>
              </w:rPr>
              <w:t>23</w:t>
            </w:r>
            <w:r>
              <w:rPr>
                <w:rFonts w:hint="eastAsia" w:ascii="仿宋_GB2312" w:eastAsia="仿宋_GB2312"/>
                <w:sz w:val="24"/>
                <w:highlight w:val="none"/>
                <w:lang w:eastAsia="zh-CN"/>
              </w:rPr>
              <w:t>日</w:t>
            </w:r>
          </w:p>
        </w:tc>
        <w:tc>
          <w:tcPr>
            <w:tcW w:w="869" w:type="dxa"/>
            <w:vAlign w:val="center"/>
          </w:tcPr>
          <w:p w14:paraId="676EB3D9">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kern w:val="2"/>
                <w:sz w:val="24"/>
                <w:szCs w:val="22"/>
                <w:highlight w:val="none"/>
                <w:lang w:val="en-US" w:eastAsia="zh-CN" w:bidi="ar-SA"/>
              </w:rPr>
            </w:pPr>
            <w:r>
              <w:rPr>
                <w:rFonts w:hint="eastAsia" w:ascii="仿宋_GB2312" w:hAnsi="宋体" w:eastAsia="仿宋_GB2312" w:cs="宋体"/>
                <w:sz w:val="24"/>
                <w:highlight w:val="none"/>
                <w:lang w:val="en-US" w:eastAsia="zh-CN"/>
              </w:rPr>
              <w:t>上午</w:t>
            </w:r>
          </w:p>
        </w:tc>
        <w:tc>
          <w:tcPr>
            <w:tcW w:w="4712" w:type="dxa"/>
            <w:vAlign w:val="center"/>
          </w:tcPr>
          <w:p w14:paraId="67B9C0DA">
            <w:pPr>
              <w:pageBreakBefore w:val="0"/>
              <w:numPr>
                <w:ilvl w:val="0"/>
                <w:numId w:val="0"/>
              </w:numPr>
              <w:kinsoku/>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val="en-US" w:eastAsia="zh-CN"/>
              </w:rPr>
              <w:t>1.</w:t>
            </w:r>
            <w:r>
              <w:rPr>
                <w:rFonts w:hint="eastAsia" w:ascii="仿宋_GB2312" w:hAnsi="仿宋_GB2312" w:eastAsia="仿宋_GB2312" w:cs="仿宋_GB2312"/>
                <w:b w:val="0"/>
                <w:bCs/>
                <w:sz w:val="24"/>
                <w:szCs w:val="24"/>
                <w:highlight w:val="none"/>
              </w:rPr>
              <w:t>公交标准化高阶驾驶操作规范</w:t>
            </w:r>
          </w:p>
          <w:p w14:paraId="656A1175">
            <w:pPr>
              <w:pageBreakBefore w:val="0"/>
              <w:numPr>
                <w:ilvl w:val="0"/>
                <w:numId w:val="0"/>
              </w:numPr>
              <w:kinsoku/>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sz w:val="24"/>
                <w:szCs w:val="24"/>
                <w:highlight w:val="none"/>
                <w:lang w:val="en-US" w:eastAsia="zh-CN"/>
              </w:rPr>
            </w:pPr>
            <w:r>
              <w:rPr>
                <w:rFonts w:hint="eastAsia" w:ascii="仿宋_GB2312" w:hAnsi="仿宋_GB2312" w:eastAsia="仿宋_GB2312" w:cs="仿宋_GB2312"/>
                <w:b w:val="0"/>
                <w:bCs/>
                <w:sz w:val="24"/>
                <w:szCs w:val="24"/>
                <w:highlight w:val="none"/>
                <w:lang w:val="en-US" w:eastAsia="zh-CN"/>
              </w:rPr>
              <w:t>2.理论考核</w:t>
            </w:r>
          </w:p>
          <w:p w14:paraId="11261A44">
            <w:pPr>
              <w:pStyle w:val="2"/>
              <w:rPr>
                <w:rFonts w:hint="eastAsia"/>
                <w:highlight w:val="none"/>
              </w:rPr>
            </w:pPr>
          </w:p>
          <w:p w14:paraId="6935C928">
            <w:pPr>
              <w:pStyle w:val="2"/>
              <w:rPr>
                <w:rFonts w:hint="eastAsia"/>
                <w:highlight w:val="none"/>
              </w:rPr>
            </w:pPr>
          </w:p>
          <w:p w14:paraId="68A31710">
            <w:pPr>
              <w:pStyle w:val="2"/>
              <w:rPr>
                <w:rFonts w:hint="default"/>
                <w:highlight w:val="none"/>
                <w:lang w:val="en-US" w:eastAsia="zh-CN"/>
              </w:rPr>
            </w:pPr>
          </w:p>
        </w:tc>
        <w:tc>
          <w:tcPr>
            <w:tcW w:w="1245" w:type="dxa"/>
            <w:vAlign w:val="center"/>
          </w:tcPr>
          <w:p w14:paraId="13E94313">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sz w:val="24"/>
                <w:highlight w:val="none"/>
                <w:lang w:val="en-US" w:eastAsia="zh-CN"/>
              </w:rPr>
            </w:pPr>
            <w:r>
              <w:rPr>
                <w:rFonts w:hint="eastAsia" w:ascii="仿宋_GB2312" w:eastAsia="仿宋_GB2312" w:cs="Times New Roman"/>
                <w:sz w:val="24"/>
                <w:highlight w:val="none"/>
                <w:lang w:val="en-US" w:eastAsia="zh-CN"/>
              </w:rPr>
              <w:t>理论</w:t>
            </w:r>
          </w:p>
        </w:tc>
        <w:tc>
          <w:tcPr>
            <w:tcW w:w="722" w:type="dxa"/>
            <w:vAlign w:val="center"/>
          </w:tcPr>
          <w:p w14:paraId="7A7BCA89">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hAnsiTheme="minorHAnsi"/>
                <w:kern w:val="2"/>
                <w:sz w:val="24"/>
                <w:szCs w:val="22"/>
                <w:highlight w:val="none"/>
                <w:lang w:val="en-US" w:eastAsia="zh-CN" w:bidi="ar-SA"/>
              </w:rPr>
            </w:pPr>
            <w:r>
              <w:rPr>
                <w:rFonts w:hint="eastAsia" w:ascii="仿宋_GB2312" w:eastAsia="仿宋_GB2312" w:cs="Times New Roman"/>
                <w:kern w:val="2"/>
                <w:sz w:val="24"/>
                <w:szCs w:val="22"/>
                <w:highlight w:val="none"/>
                <w:lang w:val="en-US" w:eastAsia="zh-CN" w:bidi="ar-SA"/>
              </w:rPr>
              <w:t>4</w:t>
            </w:r>
          </w:p>
        </w:tc>
      </w:tr>
      <w:tr w14:paraId="7252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248" w:type="dxa"/>
            <w:vMerge w:val="continue"/>
            <w:vAlign w:val="center"/>
          </w:tcPr>
          <w:p w14:paraId="67908B69">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p>
        </w:tc>
        <w:tc>
          <w:tcPr>
            <w:tcW w:w="869" w:type="dxa"/>
            <w:vAlign w:val="center"/>
          </w:tcPr>
          <w:p w14:paraId="202C544B">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kern w:val="2"/>
                <w:sz w:val="24"/>
                <w:szCs w:val="22"/>
                <w:highlight w:val="none"/>
                <w:lang w:val="en-US" w:eastAsia="zh-CN" w:bidi="ar-SA"/>
              </w:rPr>
            </w:pPr>
            <w:r>
              <w:rPr>
                <w:rFonts w:hint="eastAsia" w:ascii="仿宋_GB2312" w:hAnsi="宋体" w:eastAsia="仿宋_GB2312" w:cs="宋体"/>
                <w:sz w:val="24"/>
                <w:highlight w:val="none"/>
                <w:lang w:val="en-US" w:eastAsia="zh-CN"/>
              </w:rPr>
              <w:t>下午</w:t>
            </w:r>
          </w:p>
        </w:tc>
        <w:tc>
          <w:tcPr>
            <w:tcW w:w="4712" w:type="dxa"/>
            <w:vAlign w:val="center"/>
          </w:tcPr>
          <w:p w14:paraId="07BF3D95">
            <w:pPr>
              <w:pageBreakBefore w:val="0"/>
              <w:kinsoku/>
              <w:overflowPunct/>
              <w:topLinePunct w:val="0"/>
              <w:autoSpaceDE/>
              <w:autoSpaceDN/>
              <w:bidi w:val="0"/>
              <w:adjustRightInd/>
              <w:snapToGrid/>
              <w:spacing w:line="240" w:lineRule="auto"/>
              <w:jc w:val="both"/>
              <w:textAlignment w:val="auto"/>
              <w:rPr>
                <w:rFonts w:hint="default" w:ascii="仿宋_GB2312" w:hAnsi="宋体" w:eastAsia="仿宋_GB2312" w:cs="宋体"/>
                <w:sz w:val="24"/>
                <w:highlight w:val="none"/>
                <w:lang w:val="en-US" w:eastAsia="zh-CN"/>
              </w:rPr>
            </w:pPr>
            <w:r>
              <w:rPr>
                <w:rFonts w:hint="default" w:ascii="仿宋_GB2312" w:hAnsi="宋体" w:eastAsia="仿宋_GB2312" w:cs="宋体"/>
                <w:sz w:val="24"/>
                <w:highlight w:val="none"/>
                <w:lang w:val="en-US" w:eastAsia="zh-CN"/>
              </w:rPr>
              <w:t>车辆例检</w:t>
            </w:r>
            <w:r>
              <w:rPr>
                <w:rFonts w:hint="eastAsia" w:ascii="仿宋_GB2312" w:hAnsi="宋体" w:eastAsia="仿宋_GB2312" w:cs="宋体"/>
                <w:sz w:val="24"/>
                <w:highlight w:val="none"/>
                <w:lang w:val="en-US" w:eastAsia="zh-CN"/>
              </w:rPr>
              <w:t>规范</w:t>
            </w:r>
            <w:r>
              <w:rPr>
                <w:rFonts w:hint="default" w:ascii="仿宋_GB2312" w:hAnsi="宋体" w:eastAsia="仿宋_GB2312" w:cs="宋体"/>
                <w:sz w:val="24"/>
                <w:highlight w:val="none"/>
                <w:lang w:val="en-US" w:eastAsia="zh-CN"/>
              </w:rPr>
              <w:t>与故障判断</w:t>
            </w:r>
            <w:r>
              <w:rPr>
                <w:rFonts w:hint="eastAsia" w:ascii="仿宋_GB2312" w:hAnsi="宋体" w:eastAsia="仿宋_GB2312" w:cs="宋体"/>
                <w:sz w:val="24"/>
                <w:highlight w:val="none"/>
                <w:lang w:val="en-US" w:eastAsia="zh-CN"/>
              </w:rPr>
              <w:t>处置实操</w:t>
            </w:r>
          </w:p>
        </w:tc>
        <w:tc>
          <w:tcPr>
            <w:tcW w:w="1245" w:type="dxa"/>
            <w:vAlign w:val="center"/>
          </w:tcPr>
          <w:p w14:paraId="7AD62A42">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hAnsiTheme="minorHAnsi"/>
                <w:kern w:val="2"/>
                <w:sz w:val="24"/>
                <w:szCs w:val="22"/>
                <w:highlight w:val="none"/>
                <w:lang w:val="en-US" w:eastAsia="zh-CN" w:bidi="ar-SA"/>
              </w:rPr>
            </w:pPr>
            <w:r>
              <w:rPr>
                <w:rFonts w:hint="eastAsia" w:ascii="仿宋_GB2312" w:eastAsia="仿宋_GB2312" w:cs="Times New Roman"/>
                <w:kern w:val="2"/>
                <w:sz w:val="24"/>
                <w:szCs w:val="22"/>
                <w:highlight w:val="none"/>
                <w:lang w:val="en-US" w:eastAsia="zh-CN" w:bidi="ar-SA"/>
              </w:rPr>
              <w:t>实操</w:t>
            </w:r>
          </w:p>
        </w:tc>
        <w:tc>
          <w:tcPr>
            <w:tcW w:w="722" w:type="dxa"/>
            <w:vAlign w:val="center"/>
          </w:tcPr>
          <w:p w14:paraId="3917F982">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hAnsiTheme="minorHAnsi"/>
                <w:kern w:val="2"/>
                <w:sz w:val="24"/>
                <w:szCs w:val="22"/>
                <w:highlight w:val="none"/>
                <w:lang w:val="en-US" w:eastAsia="zh-CN" w:bidi="ar-SA"/>
              </w:rPr>
            </w:pPr>
            <w:r>
              <w:rPr>
                <w:rFonts w:hint="eastAsia" w:ascii="仿宋_GB2312" w:eastAsia="仿宋_GB2312" w:cs="Times New Roman"/>
                <w:kern w:val="2"/>
                <w:sz w:val="24"/>
                <w:szCs w:val="22"/>
                <w:highlight w:val="none"/>
                <w:lang w:val="en-US" w:eastAsia="zh-CN" w:bidi="ar-SA"/>
              </w:rPr>
              <w:t>4</w:t>
            </w:r>
          </w:p>
        </w:tc>
      </w:tr>
      <w:tr w14:paraId="18C5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vMerge w:val="restart"/>
            <w:vAlign w:val="center"/>
          </w:tcPr>
          <w:p w14:paraId="4FF31985">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kern w:val="2"/>
                <w:sz w:val="24"/>
                <w:szCs w:val="22"/>
                <w:highlight w:val="none"/>
                <w:lang w:val="en-US" w:eastAsia="zh-CN" w:bidi="ar-SA"/>
              </w:rPr>
            </w:pPr>
            <w:r>
              <w:rPr>
                <w:rFonts w:hint="eastAsia" w:ascii="仿宋_GB2312" w:eastAsia="仿宋_GB2312"/>
                <w:sz w:val="24"/>
                <w:highlight w:val="none"/>
                <w:lang w:val="en-US" w:eastAsia="zh-CN"/>
              </w:rPr>
              <w:t>8</w:t>
            </w:r>
            <w:r>
              <w:rPr>
                <w:rFonts w:hint="eastAsia" w:ascii="仿宋_GB2312" w:eastAsia="仿宋_GB2312"/>
                <w:sz w:val="24"/>
                <w:highlight w:val="none"/>
                <w:lang w:eastAsia="zh-CN"/>
              </w:rPr>
              <w:t>月</w:t>
            </w:r>
            <w:r>
              <w:rPr>
                <w:rFonts w:hint="eastAsia" w:ascii="仿宋_GB2312" w:eastAsia="仿宋_GB2312"/>
                <w:sz w:val="24"/>
                <w:highlight w:val="none"/>
                <w:lang w:val="en-US" w:eastAsia="zh-CN"/>
              </w:rPr>
              <w:t>24</w:t>
            </w:r>
            <w:r>
              <w:rPr>
                <w:rFonts w:hint="eastAsia" w:ascii="仿宋_GB2312" w:eastAsia="仿宋_GB2312"/>
                <w:sz w:val="24"/>
                <w:highlight w:val="none"/>
                <w:lang w:eastAsia="zh-CN"/>
              </w:rPr>
              <w:t>日</w:t>
            </w:r>
          </w:p>
        </w:tc>
        <w:tc>
          <w:tcPr>
            <w:tcW w:w="869" w:type="dxa"/>
            <w:vAlign w:val="center"/>
          </w:tcPr>
          <w:p w14:paraId="2ABC7129">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kern w:val="2"/>
                <w:sz w:val="24"/>
                <w:szCs w:val="22"/>
                <w:highlight w:val="none"/>
                <w:lang w:val="en-US" w:eastAsia="zh-CN" w:bidi="ar-SA"/>
              </w:rPr>
            </w:pPr>
            <w:r>
              <w:rPr>
                <w:rFonts w:hint="eastAsia" w:ascii="仿宋_GB2312" w:hAnsi="宋体" w:eastAsia="仿宋_GB2312" w:cs="宋体"/>
                <w:sz w:val="24"/>
                <w:highlight w:val="none"/>
                <w:lang w:val="en-US" w:eastAsia="zh-CN"/>
              </w:rPr>
              <w:t>上午</w:t>
            </w:r>
          </w:p>
        </w:tc>
        <w:tc>
          <w:tcPr>
            <w:tcW w:w="4712" w:type="dxa"/>
            <w:vAlign w:val="center"/>
          </w:tcPr>
          <w:p w14:paraId="08E9A981">
            <w:pPr>
              <w:pageBreakBefore w:val="0"/>
              <w:numPr>
                <w:ilvl w:val="0"/>
                <w:numId w:val="0"/>
              </w:numPr>
              <w:kinsoku/>
              <w:overflowPunct/>
              <w:topLinePunct w:val="0"/>
              <w:autoSpaceDE/>
              <w:autoSpaceDN/>
              <w:bidi w:val="0"/>
              <w:adjustRightInd/>
              <w:snapToGrid/>
              <w:spacing w:line="240" w:lineRule="auto"/>
              <w:jc w:val="both"/>
              <w:textAlignment w:val="auto"/>
              <w:rPr>
                <w:rFonts w:hint="eastAsia" w:ascii="仿宋_GB2312" w:hAnsi="Calibri" w:eastAsia="仿宋_GB2312" w:cs="Times New Roman"/>
                <w:kern w:val="2"/>
                <w:sz w:val="24"/>
                <w:szCs w:val="24"/>
                <w:highlight w:val="none"/>
                <w:lang w:val="en-US" w:eastAsia="zh-CN" w:bidi="ar-SA"/>
              </w:rPr>
            </w:pPr>
            <w:r>
              <w:rPr>
                <w:rFonts w:hint="eastAsia" w:ascii="仿宋_GB2312" w:hAnsi="仿宋_GB2312" w:eastAsia="仿宋_GB2312" w:cs="仿宋_GB2312"/>
                <w:b w:val="0"/>
                <w:bCs/>
                <w:sz w:val="24"/>
                <w:szCs w:val="24"/>
                <w:highlight w:val="none"/>
              </w:rPr>
              <w:t>公交标准化高阶驾驶规范操作</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lang w:val="en-US" w:eastAsia="zh-CN"/>
              </w:rPr>
              <w:t>一</w:t>
            </w:r>
            <w:r>
              <w:rPr>
                <w:rFonts w:hint="eastAsia" w:ascii="仿宋_GB2312" w:hAnsi="仿宋_GB2312" w:eastAsia="仿宋_GB2312" w:cs="仿宋_GB2312"/>
                <w:b w:val="0"/>
                <w:bCs/>
                <w:sz w:val="24"/>
                <w:szCs w:val="24"/>
                <w:highlight w:val="none"/>
                <w:lang w:eastAsia="zh-CN"/>
              </w:rPr>
              <w:t>）</w:t>
            </w:r>
          </w:p>
        </w:tc>
        <w:tc>
          <w:tcPr>
            <w:tcW w:w="1245" w:type="dxa"/>
            <w:vAlign w:val="center"/>
          </w:tcPr>
          <w:p w14:paraId="6D304AFB">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hAnsiTheme="minorHAnsi"/>
                <w:kern w:val="2"/>
                <w:sz w:val="24"/>
                <w:szCs w:val="22"/>
                <w:highlight w:val="none"/>
                <w:lang w:val="en-US" w:eastAsia="zh-CN" w:bidi="ar-SA"/>
              </w:rPr>
            </w:pPr>
            <w:r>
              <w:rPr>
                <w:rFonts w:hint="eastAsia" w:ascii="仿宋_GB2312" w:eastAsia="仿宋_GB2312" w:cs="Times New Roman"/>
                <w:kern w:val="2"/>
                <w:sz w:val="24"/>
                <w:szCs w:val="22"/>
                <w:highlight w:val="none"/>
                <w:lang w:val="en-US" w:eastAsia="zh-CN" w:bidi="ar-SA"/>
              </w:rPr>
              <w:t>实操</w:t>
            </w:r>
          </w:p>
        </w:tc>
        <w:tc>
          <w:tcPr>
            <w:tcW w:w="722" w:type="dxa"/>
            <w:vAlign w:val="center"/>
          </w:tcPr>
          <w:p w14:paraId="3E757B8E">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sz w:val="24"/>
                <w:highlight w:val="none"/>
                <w:lang w:val="en-US" w:eastAsia="zh-CN"/>
              </w:rPr>
            </w:pPr>
            <w:r>
              <w:rPr>
                <w:rFonts w:hint="eastAsia" w:ascii="仿宋_GB2312" w:eastAsia="仿宋_GB2312" w:cs="Times New Roman"/>
                <w:sz w:val="24"/>
                <w:highlight w:val="none"/>
                <w:lang w:val="en-US" w:eastAsia="zh-CN"/>
              </w:rPr>
              <w:t>4</w:t>
            </w:r>
          </w:p>
        </w:tc>
      </w:tr>
      <w:tr w14:paraId="6A64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vMerge w:val="continue"/>
            <w:vAlign w:val="center"/>
          </w:tcPr>
          <w:p w14:paraId="47F588F6">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p>
        </w:tc>
        <w:tc>
          <w:tcPr>
            <w:tcW w:w="869" w:type="dxa"/>
            <w:vAlign w:val="center"/>
          </w:tcPr>
          <w:p w14:paraId="5967DF6B">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kern w:val="2"/>
                <w:sz w:val="24"/>
                <w:szCs w:val="22"/>
                <w:highlight w:val="none"/>
                <w:lang w:val="en-US" w:eastAsia="zh-CN" w:bidi="ar-SA"/>
              </w:rPr>
            </w:pPr>
            <w:r>
              <w:rPr>
                <w:rFonts w:hint="eastAsia" w:ascii="仿宋_GB2312" w:hAnsi="宋体" w:eastAsia="仿宋_GB2312" w:cs="宋体"/>
                <w:sz w:val="24"/>
                <w:highlight w:val="none"/>
                <w:lang w:val="en-US" w:eastAsia="zh-CN"/>
              </w:rPr>
              <w:t>下午</w:t>
            </w:r>
          </w:p>
        </w:tc>
        <w:tc>
          <w:tcPr>
            <w:tcW w:w="4712" w:type="dxa"/>
            <w:vAlign w:val="center"/>
          </w:tcPr>
          <w:p w14:paraId="0C012640">
            <w:pPr>
              <w:pageBreakBefore w:val="0"/>
              <w:numPr>
                <w:ilvl w:val="0"/>
                <w:numId w:val="0"/>
              </w:numPr>
              <w:kinsoku/>
              <w:overflowPunct/>
              <w:topLinePunct w:val="0"/>
              <w:autoSpaceDE/>
              <w:autoSpaceDN/>
              <w:bidi w:val="0"/>
              <w:adjustRightInd/>
              <w:snapToGrid/>
              <w:spacing w:line="240" w:lineRule="auto"/>
              <w:jc w:val="both"/>
              <w:textAlignment w:val="auto"/>
              <w:rPr>
                <w:rFonts w:hint="eastAsia" w:ascii="仿宋_GB2312" w:eastAsia="仿宋_GB2312" w:hAnsiTheme="minorHAnsi" w:cstheme="minorBidi"/>
                <w:kern w:val="2"/>
                <w:sz w:val="24"/>
                <w:szCs w:val="22"/>
                <w:highlight w:val="none"/>
                <w:lang w:val="en-US" w:eastAsia="zh-CN" w:bidi="ar-SA"/>
              </w:rPr>
            </w:pPr>
            <w:r>
              <w:rPr>
                <w:rFonts w:hint="eastAsia" w:ascii="仿宋_GB2312" w:hAnsi="仿宋_GB2312" w:eastAsia="仿宋_GB2312" w:cs="仿宋_GB2312"/>
                <w:b w:val="0"/>
                <w:bCs/>
                <w:sz w:val="24"/>
                <w:szCs w:val="24"/>
                <w:highlight w:val="none"/>
              </w:rPr>
              <w:t>公交标准化高阶驾驶规范操作</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lang w:val="en-US" w:eastAsia="zh-CN"/>
              </w:rPr>
              <w:t>二</w:t>
            </w:r>
            <w:r>
              <w:rPr>
                <w:rFonts w:hint="eastAsia" w:ascii="仿宋_GB2312" w:hAnsi="仿宋_GB2312" w:eastAsia="仿宋_GB2312" w:cs="仿宋_GB2312"/>
                <w:b w:val="0"/>
                <w:bCs/>
                <w:sz w:val="24"/>
                <w:szCs w:val="24"/>
                <w:highlight w:val="none"/>
                <w:lang w:eastAsia="zh-CN"/>
              </w:rPr>
              <w:t>）</w:t>
            </w:r>
          </w:p>
        </w:tc>
        <w:tc>
          <w:tcPr>
            <w:tcW w:w="1245" w:type="dxa"/>
            <w:vAlign w:val="center"/>
          </w:tcPr>
          <w:p w14:paraId="20056CAD">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imes New Roman" w:hAnsiTheme="minorHAnsi"/>
                <w:kern w:val="2"/>
                <w:sz w:val="24"/>
                <w:szCs w:val="22"/>
                <w:highlight w:val="none"/>
                <w:lang w:val="en-US" w:eastAsia="zh-CN" w:bidi="ar-SA"/>
              </w:rPr>
            </w:pPr>
            <w:r>
              <w:rPr>
                <w:rFonts w:hint="eastAsia" w:ascii="仿宋_GB2312" w:eastAsia="仿宋_GB2312" w:cs="Times New Roman"/>
                <w:kern w:val="2"/>
                <w:sz w:val="24"/>
                <w:szCs w:val="22"/>
                <w:highlight w:val="none"/>
                <w:lang w:val="en-US" w:eastAsia="zh-CN" w:bidi="ar-SA"/>
              </w:rPr>
              <w:t>实操</w:t>
            </w:r>
          </w:p>
        </w:tc>
        <w:tc>
          <w:tcPr>
            <w:tcW w:w="722" w:type="dxa"/>
            <w:vAlign w:val="center"/>
          </w:tcPr>
          <w:p w14:paraId="4093A727">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hAnsiTheme="minorHAnsi" w:cstheme="minorBidi"/>
                <w:kern w:val="2"/>
                <w:sz w:val="24"/>
                <w:szCs w:val="22"/>
                <w:highlight w:val="none"/>
                <w:lang w:val="en-US" w:eastAsia="zh-CN" w:bidi="ar-SA"/>
              </w:rPr>
            </w:pPr>
            <w:r>
              <w:rPr>
                <w:rFonts w:hint="eastAsia" w:ascii="仿宋_GB2312" w:eastAsia="仿宋_GB2312" w:cstheme="minorBidi"/>
                <w:kern w:val="2"/>
                <w:sz w:val="24"/>
                <w:szCs w:val="22"/>
                <w:highlight w:val="none"/>
                <w:lang w:val="en-US" w:eastAsia="zh-CN" w:bidi="ar-SA"/>
              </w:rPr>
              <w:t>4</w:t>
            </w:r>
          </w:p>
        </w:tc>
      </w:tr>
      <w:tr w14:paraId="17A7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48" w:type="dxa"/>
            <w:vMerge w:val="restart"/>
            <w:vAlign w:val="center"/>
          </w:tcPr>
          <w:p w14:paraId="4F4C3FFA">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r>
              <w:rPr>
                <w:rFonts w:hint="eastAsia" w:ascii="仿宋_GB2312" w:eastAsia="仿宋_GB2312"/>
                <w:sz w:val="24"/>
                <w:highlight w:val="none"/>
                <w:lang w:val="en-US" w:eastAsia="zh-CN"/>
              </w:rPr>
              <w:t>8</w:t>
            </w:r>
            <w:r>
              <w:rPr>
                <w:rFonts w:hint="eastAsia" w:ascii="仿宋_GB2312" w:eastAsia="仿宋_GB2312"/>
                <w:sz w:val="24"/>
                <w:highlight w:val="none"/>
                <w:lang w:eastAsia="zh-CN"/>
              </w:rPr>
              <w:t>月</w:t>
            </w:r>
            <w:r>
              <w:rPr>
                <w:rFonts w:hint="eastAsia" w:ascii="仿宋_GB2312" w:eastAsia="仿宋_GB2312"/>
                <w:sz w:val="24"/>
                <w:highlight w:val="none"/>
                <w:lang w:val="en-US" w:eastAsia="zh-CN"/>
              </w:rPr>
              <w:t>25</w:t>
            </w:r>
            <w:r>
              <w:rPr>
                <w:rFonts w:hint="eastAsia" w:ascii="仿宋_GB2312" w:eastAsia="仿宋_GB2312"/>
                <w:sz w:val="24"/>
                <w:highlight w:val="none"/>
                <w:lang w:eastAsia="zh-CN"/>
              </w:rPr>
              <w:t>日</w:t>
            </w:r>
          </w:p>
        </w:tc>
        <w:tc>
          <w:tcPr>
            <w:tcW w:w="869" w:type="dxa"/>
            <w:vAlign w:val="center"/>
          </w:tcPr>
          <w:p w14:paraId="073CCB5D">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r>
              <w:rPr>
                <w:rFonts w:hint="eastAsia" w:ascii="仿宋_GB2312" w:hAnsi="宋体" w:eastAsia="仿宋_GB2312" w:cs="宋体"/>
                <w:sz w:val="24"/>
                <w:highlight w:val="none"/>
                <w:lang w:val="en-US" w:eastAsia="zh-CN"/>
              </w:rPr>
              <w:t>上午</w:t>
            </w:r>
          </w:p>
        </w:tc>
        <w:tc>
          <w:tcPr>
            <w:tcW w:w="4712" w:type="dxa"/>
            <w:vAlign w:val="center"/>
          </w:tcPr>
          <w:p w14:paraId="77CF550E">
            <w:pPr>
              <w:pageBreakBefore w:val="0"/>
              <w:numPr>
                <w:ilvl w:val="0"/>
                <w:numId w:val="0"/>
              </w:numPr>
              <w:kinsoku/>
              <w:overflowPunct/>
              <w:topLinePunct w:val="0"/>
              <w:autoSpaceDE/>
              <w:autoSpaceDN/>
              <w:bidi w:val="0"/>
              <w:adjustRightInd/>
              <w:snapToGrid/>
              <w:spacing w:line="240" w:lineRule="auto"/>
              <w:ind w:left="0" w:leftChars="0" w:firstLine="0" w:firstLineChars="0"/>
              <w:jc w:val="both"/>
              <w:textAlignment w:val="auto"/>
              <w:rPr>
                <w:rFonts w:hint="eastAsia" w:ascii="仿宋_GB2312" w:eastAsia="仿宋_GB2312" w:cstheme="minorBidi"/>
                <w:kern w:val="2"/>
                <w:sz w:val="24"/>
                <w:szCs w:val="22"/>
                <w:highlight w:val="none"/>
                <w:lang w:val="en-US" w:eastAsia="zh-CN" w:bidi="ar-SA"/>
              </w:rPr>
            </w:pPr>
            <w:r>
              <w:rPr>
                <w:rFonts w:hint="eastAsia" w:ascii="仿宋_GB2312" w:hAnsi="仿宋_GB2312" w:eastAsia="仿宋_GB2312" w:cs="仿宋_GB2312"/>
                <w:b w:val="0"/>
                <w:bCs w:val="0"/>
                <w:sz w:val="24"/>
                <w:szCs w:val="24"/>
                <w:highlight w:val="none"/>
              </w:rPr>
              <w:t>复杂场景安全驾驶与风险防控</w:t>
            </w:r>
            <w:r>
              <w:rPr>
                <w:rFonts w:hint="eastAsia" w:ascii="仿宋_GB2312" w:hAnsi="仿宋_GB2312" w:eastAsia="仿宋_GB2312" w:cs="仿宋_GB2312"/>
                <w:b w:val="0"/>
                <w:bCs w:val="0"/>
                <w:sz w:val="24"/>
                <w:szCs w:val="24"/>
                <w:highlight w:val="none"/>
                <w:lang w:val="en-US" w:eastAsia="zh-CN"/>
              </w:rPr>
              <w:t>操作</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lang w:val="en-US" w:eastAsia="zh-CN"/>
              </w:rPr>
              <w:t>一</w:t>
            </w:r>
            <w:r>
              <w:rPr>
                <w:rFonts w:hint="eastAsia" w:ascii="仿宋_GB2312" w:hAnsi="仿宋_GB2312" w:eastAsia="仿宋_GB2312" w:cs="仿宋_GB2312"/>
                <w:b w:val="0"/>
                <w:bCs/>
                <w:sz w:val="24"/>
                <w:szCs w:val="24"/>
                <w:highlight w:val="none"/>
                <w:lang w:eastAsia="zh-CN"/>
              </w:rPr>
              <w:t>）</w:t>
            </w:r>
          </w:p>
        </w:tc>
        <w:tc>
          <w:tcPr>
            <w:tcW w:w="1245" w:type="dxa"/>
            <w:vAlign w:val="center"/>
          </w:tcPr>
          <w:p w14:paraId="30AB6397">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heme="minorBidi"/>
                <w:kern w:val="2"/>
                <w:sz w:val="24"/>
                <w:szCs w:val="22"/>
                <w:highlight w:val="none"/>
                <w:lang w:val="en-US" w:eastAsia="zh-CN" w:bidi="ar-SA"/>
              </w:rPr>
            </w:pPr>
            <w:r>
              <w:rPr>
                <w:rFonts w:hint="eastAsia" w:ascii="仿宋_GB2312" w:eastAsia="仿宋_GB2312" w:cstheme="minorBidi"/>
                <w:kern w:val="2"/>
                <w:sz w:val="24"/>
                <w:szCs w:val="22"/>
                <w:highlight w:val="none"/>
                <w:lang w:val="en-US" w:eastAsia="zh-CN" w:bidi="ar-SA"/>
              </w:rPr>
              <w:t>实操</w:t>
            </w:r>
          </w:p>
        </w:tc>
        <w:tc>
          <w:tcPr>
            <w:tcW w:w="722" w:type="dxa"/>
            <w:vAlign w:val="center"/>
          </w:tcPr>
          <w:p w14:paraId="6D9FDFD2">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4</w:t>
            </w:r>
          </w:p>
        </w:tc>
      </w:tr>
      <w:tr w14:paraId="4368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8" w:type="dxa"/>
            <w:vMerge w:val="continue"/>
            <w:vAlign w:val="center"/>
          </w:tcPr>
          <w:p w14:paraId="15D16966">
            <w:pPr>
              <w:pageBreakBefore w:val="0"/>
              <w:kinsoku/>
              <w:overflowPunct/>
              <w:topLinePunct w:val="0"/>
              <w:autoSpaceDE/>
              <w:autoSpaceDN/>
              <w:bidi w:val="0"/>
              <w:adjustRightInd/>
              <w:snapToGrid/>
              <w:spacing w:line="240" w:lineRule="auto"/>
              <w:jc w:val="both"/>
              <w:textAlignment w:val="auto"/>
              <w:rPr>
                <w:rFonts w:hint="eastAsia" w:ascii="仿宋_GB2312" w:hAnsi="宋体" w:eastAsia="仿宋_GB2312" w:cs="宋体"/>
                <w:sz w:val="24"/>
                <w:highlight w:val="none"/>
                <w:lang w:val="en-US" w:eastAsia="zh-CN"/>
              </w:rPr>
            </w:pPr>
          </w:p>
        </w:tc>
        <w:tc>
          <w:tcPr>
            <w:tcW w:w="869" w:type="dxa"/>
            <w:vAlign w:val="center"/>
          </w:tcPr>
          <w:p w14:paraId="16524EE2">
            <w:pPr>
              <w:pageBreakBefore w:val="0"/>
              <w:widowControl w:val="0"/>
              <w:kinsoku/>
              <w:wordWrap/>
              <w:overflowPunct/>
              <w:topLinePunct w:val="0"/>
              <w:autoSpaceDE/>
              <w:autoSpaceDN/>
              <w:bidi w:val="0"/>
              <w:adjustRightInd/>
              <w:snapToGrid w:val="0"/>
              <w:spacing w:line="240" w:lineRule="auto"/>
              <w:jc w:val="both"/>
              <w:textAlignment w:val="auto"/>
              <w:rPr>
                <w:rFonts w:hint="eastAsia" w:ascii="仿宋_GB2312" w:hAnsi="宋体" w:eastAsia="仿宋_GB2312" w:cs="宋体"/>
                <w:sz w:val="24"/>
                <w:highlight w:val="none"/>
                <w:lang w:val="en-US" w:eastAsia="zh-CN"/>
              </w:rPr>
            </w:pPr>
            <w:r>
              <w:rPr>
                <w:rFonts w:hint="eastAsia" w:ascii="仿宋_GB2312" w:hAnsi="宋体" w:eastAsia="仿宋_GB2312" w:cs="宋体"/>
                <w:sz w:val="24"/>
                <w:highlight w:val="none"/>
                <w:lang w:val="en-US" w:eastAsia="zh-CN"/>
              </w:rPr>
              <w:t>下午</w:t>
            </w:r>
          </w:p>
        </w:tc>
        <w:tc>
          <w:tcPr>
            <w:tcW w:w="4712" w:type="dxa"/>
            <w:vAlign w:val="center"/>
          </w:tcPr>
          <w:p w14:paraId="61E1C79E">
            <w:pPr>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_GB2312" w:hAnsi="仿宋_GB2312" w:eastAsia="仿宋_GB2312" w:cs="仿宋_GB2312"/>
                <w:b w:val="0"/>
                <w:bCs/>
                <w:sz w:val="24"/>
                <w:szCs w:val="24"/>
                <w:highlight w:val="none"/>
                <w:lang w:eastAsia="zh-CN"/>
              </w:rPr>
            </w:pPr>
            <w:r>
              <w:rPr>
                <w:rFonts w:hint="eastAsia" w:ascii="仿宋_GB2312" w:hAnsi="仿宋_GB2312" w:eastAsia="仿宋_GB2312" w:cs="仿宋_GB2312"/>
                <w:b w:val="0"/>
                <w:bCs w:val="0"/>
                <w:sz w:val="24"/>
                <w:szCs w:val="24"/>
                <w:highlight w:val="none"/>
                <w:lang w:val="en-US" w:eastAsia="zh-CN"/>
              </w:rPr>
              <w:t>1.</w:t>
            </w:r>
            <w:r>
              <w:rPr>
                <w:rFonts w:hint="eastAsia" w:ascii="仿宋_GB2312" w:hAnsi="仿宋_GB2312" w:eastAsia="仿宋_GB2312" w:cs="仿宋_GB2312"/>
                <w:b w:val="0"/>
                <w:bCs w:val="0"/>
                <w:sz w:val="24"/>
                <w:szCs w:val="24"/>
                <w:highlight w:val="none"/>
              </w:rPr>
              <w:t>复杂场景安全驾驶与风险防控</w:t>
            </w:r>
            <w:r>
              <w:rPr>
                <w:rFonts w:hint="eastAsia" w:ascii="仿宋_GB2312" w:hAnsi="仿宋_GB2312" w:eastAsia="仿宋_GB2312" w:cs="仿宋_GB2312"/>
                <w:b w:val="0"/>
                <w:bCs w:val="0"/>
                <w:sz w:val="24"/>
                <w:szCs w:val="24"/>
                <w:highlight w:val="none"/>
                <w:lang w:val="en-US" w:eastAsia="zh-CN"/>
              </w:rPr>
              <w:t>操作</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lang w:val="en-US" w:eastAsia="zh-CN"/>
              </w:rPr>
              <w:t>二</w:t>
            </w:r>
            <w:r>
              <w:rPr>
                <w:rFonts w:hint="eastAsia" w:ascii="仿宋_GB2312" w:hAnsi="仿宋_GB2312" w:eastAsia="仿宋_GB2312" w:cs="仿宋_GB2312"/>
                <w:b w:val="0"/>
                <w:bCs/>
                <w:sz w:val="24"/>
                <w:szCs w:val="24"/>
                <w:highlight w:val="none"/>
                <w:lang w:eastAsia="zh-CN"/>
              </w:rPr>
              <w:t>）</w:t>
            </w:r>
          </w:p>
          <w:p w14:paraId="3A0FD165">
            <w:pPr>
              <w:pStyle w:val="2"/>
              <w:pageBreakBefore w:val="0"/>
              <w:widowControl w:val="0"/>
              <w:kinsoku/>
              <w:wordWrap/>
              <w:overflowPunct/>
              <w:topLinePunct w:val="0"/>
              <w:autoSpaceDE/>
              <w:autoSpaceDN/>
              <w:bidi w:val="0"/>
              <w:adjustRightInd/>
              <w:snapToGrid w:val="0"/>
              <w:spacing w:before="0" w:after="0" w:line="240" w:lineRule="auto"/>
              <w:textAlignment w:val="auto"/>
              <w:rPr>
                <w:rFonts w:hint="default"/>
                <w:highlight w:val="none"/>
                <w:lang w:val="en-US" w:eastAsia="zh-CN"/>
              </w:rPr>
            </w:pPr>
            <w:r>
              <w:rPr>
                <w:rFonts w:hint="eastAsia" w:ascii="仿宋_GB2312" w:hAnsi="仿宋_GB2312" w:eastAsia="仿宋_GB2312" w:cs="仿宋_GB2312"/>
                <w:b w:val="0"/>
                <w:bCs/>
                <w:sz w:val="24"/>
                <w:szCs w:val="24"/>
                <w:highlight w:val="none"/>
                <w:lang w:val="en-US" w:eastAsia="zh-CN"/>
              </w:rPr>
              <w:t>2.实操考核</w:t>
            </w:r>
          </w:p>
        </w:tc>
        <w:tc>
          <w:tcPr>
            <w:tcW w:w="1245" w:type="dxa"/>
            <w:vAlign w:val="center"/>
          </w:tcPr>
          <w:p w14:paraId="342DDF07">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cstheme="minorBidi"/>
                <w:kern w:val="2"/>
                <w:sz w:val="24"/>
                <w:szCs w:val="22"/>
                <w:highlight w:val="none"/>
                <w:lang w:val="en-US" w:eastAsia="zh-CN" w:bidi="ar-SA"/>
              </w:rPr>
            </w:pPr>
            <w:r>
              <w:rPr>
                <w:rFonts w:hint="eastAsia" w:ascii="仿宋_GB2312" w:eastAsia="仿宋_GB2312" w:cstheme="minorBidi"/>
                <w:kern w:val="2"/>
                <w:sz w:val="24"/>
                <w:szCs w:val="22"/>
                <w:highlight w:val="none"/>
                <w:lang w:val="en-US" w:eastAsia="zh-CN" w:bidi="ar-SA"/>
              </w:rPr>
              <w:t>实操</w:t>
            </w:r>
          </w:p>
        </w:tc>
        <w:tc>
          <w:tcPr>
            <w:tcW w:w="722" w:type="dxa"/>
            <w:vAlign w:val="center"/>
          </w:tcPr>
          <w:p w14:paraId="4D64A4E7">
            <w:pPr>
              <w:pageBreakBefore w:val="0"/>
              <w:kinsoku/>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4</w:t>
            </w:r>
          </w:p>
        </w:tc>
      </w:tr>
    </w:tbl>
    <w:p w14:paraId="18DD67C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p>
    <w:p w14:paraId="4F41EE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theme="minorBidi"/>
          <w:kern w:val="2"/>
          <w:sz w:val="32"/>
          <w:szCs w:val="32"/>
          <w:highlight w:val="none"/>
          <w:lang w:val="en-US" w:eastAsia="zh-CN" w:bidi="ar-SA"/>
        </w:rPr>
      </w:pPr>
      <w:r>
        <w:rPr>
          <w:rFonts w:hint="eastAsia" w:ascii="黑体" w:hAnsi="黑体" w:eastAsia="黑体" w:cstheme="minorBidi"/>
          <w:kern w:val="2"/>
          <w:sz w:val="32"/>
          <w:szCs w:val="32"/>
          <w:highlight w:val="none"/>
          <w:lang w:val="en-US" w:eastAsia="zh-CN" w:bidi="ar-SA"/>
        </w:rPr>
        <w:t>五、培训地点</w:t>
      </w:r>
    </w:p>
    <w:p w14:paraId="4D3C71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theme="minorBidi"/>
          <w:kern w:val="2"/>
          <w:sz w:val="32"/>
          <w:szCs w:val="32"/>
          <w:highlight w:val="none"/>
          <w:lang w:val="en-US" w:eastAsia="zh-CN" w:bidi="ar-SA"/>
        </w:rPr>
      </w:pPr>
      <w:r>
        <w:rPr>
          <w:rFonts w:hint="eastAsia" w:ascii="仿宋_GB2312" w:hAnsi="宋体" w:eastAsia="仿宋_GB2312" w:cs="仿宋_GB2312"/>
          <w:kern w:val="0"/>
          <w:sz w:val="32"/>
          <w:szCs w:val="32"/>
          <w:highlight w:val="none"/>
          <w:lang w:val="en-US" w:eastAsia="zh-CN" w:bidi="ar"/>
        </w:rPr>
        <w:t>北京市公共交通技师学院长阳校区（房山区长阳镇稻田南里三号）。</w:t>
      </w:r>
    </w:p>
    <w:p w14:paraId="175191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theme="minorBidi"/>
          <w:kern w:val="2"/>
          <w:sz w:val="32"/>
          <w:szCs w:val="32"/>
          <w:highlight w:val="none"/>
          <w:lang w:val="en-US" w:eastAsia="zh-CN" w:bidi="ar-SA"/>
        </w:rPr>
      </w:pPr>
      <w:r>
        <w:rPr>
          <w:rFonts w:hint="eastAsia" w:ascii="黑体" w:hAnsi="黑体" w:eastAsia="黑体" w:cstheme="minorBidi"/>
          <w:kern w:val="2"/>
          <w:sz w:val="32"/>
          <w:szCs w:val="32"/>
          <w:highlight w:val="none"/>
          <w:lang w:val="en-US" w:eastAsia="zh-CN" w:bidi="ar-SA"/>
        </w:rPr>
        <w:t>六、主要授课教师</w:t>
      </w:r>
    </w:p>
    <w:p w14:paraId="78F388C7">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仿宋_GB2312" w:hAnsi="宋体" w:eastAsia="仿宋_GB2312" w:cs="仿宋_GB2312"/>
          <w:kern w:val="0"/>
          <w:sz w:val="32"/>
          <w:szCs w:val="32"/>
          <w:highlight w:val="none"/>
          <w:lang w:val="en-US" w:eastAsia="zh-CN" w:bidi="ar"/>
        </w:rPr>
      </w:pPr>
      <w:r>
        <w:rPr>
          <w:rFonts w:hint="eastAsia" w:ascii="仿宋_GB2312" w:hAnsi="宋体" w:eastAsia="仿宋_GB2312" w:cs="仿宋_GB2312"/>
          <w:kern w:val="0"/>
          <w:sz w:val="32"/>
          <w:szCs w:val="32"/>
          <w:highlight w:val="none"/>
          <w:lang w:val="en-US" w:eastAsia="zh-CN" w:bidi="ar"/>
        </w:rPr>
        <w:t>1.柳实，原北京警察学院教授，警务车辆特种驾驶技战术课程负责人，中国人民公安大学客座教授。</w:t>
      </w:r>
    </w:p>
    <w:p w14:paraId="456850E0">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left"/>
        <w:textAlignment w:val="auto"/>
        <w:rPr>
          <w:rFonts w:hint="eastAsia" w:ascii="仿宋_GB2312" w:hAnsi="宋体" w:eastAsia="仿宋_GB2312" w:cs="仿宋_GB2312"/>
          <w:kern w:val="0"/>
          <w:sz w:val="32"/>
          <w:szCs w:val="32"/>
          <w:highlight w:val="none"/>
          <w:lang w:val="en-US" w:eastAsia="zh-CN" w:bidi="ar"/>
        </w:rPr>
      </w:pPr>
      <w:r>
        <w:rPr>
          <w:rFonts w:hint="eastAsia" w:ascii="仿宋_GB2312" w:hAnsi="宋体" w:eastAsia="仿宋_GB2312" w:cs="仿宋_GB2312"/>
          <w:kern w:val="0"/>
          <w:sz w:val="32"/>
          <w:szCs w:val="32"/>
          <w:highlight w:val="none"/>
          <w:lang w:val="en-US" w:eastAsia="zh-CN" w:bidi="ar"/>
        </w:rPr>
        <w:t>2.</w:t>
      </w:r>
      <w:r>
        <w:rPr>
          <w:rFonts w:hint="eastAsia" w:ascii="仿宋_GB2312" w:hAnsi="仿宋_GB2312" w:eastAsia="仿宋_GB2312" w:cs="仿宋_GB2312"/>
          <w:sz w:val="32"/>
          <w:szCs w:val="32"/>
          <w:highlight w:val="none"/>
          <w:lang w:val="en-US" w:eastAsia="zh-CN"/>
        </w:rPr>
        <w:t>赵琦，北方工业大学交通信息与控制工程系副教授，硕士生导师。</w:t>
      </w:r>
    </w:p>
    <w:p w14:paraId="791AC4AC">
      <w:pPr>
        <w:pStyle w:val="15"/>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caps w:val="0"/>
          <w:color w:val="333333"/>
          <w:spacing w:val="0"/>
          <w:sz w:val="32"/>
          <w:szCs w:val="32"/>
          <w:highlight w:val="none"/>
        </w:rPr>
      </w:pPr>
      <w:r>
        <w:rPr>
          <w:rFonts w:hint="eastAsia" w:ascii="仿宋_GB2312" w:hAnsi="宋体" w:eastAsia="仿宋_GB2312" w:cs="仿宋_GB2312"/>
          <w:kern w:val="0"/>
          <w:sz w:val="32"/>
          <w:szCs w:val="32"/>
          <w:highlight w:val="none"/>
          <w:lang w:val="en-US" w:eastAsia="zh-CN" w:bidi="ar"/>
        </w:rPr>
        <w:t>3.孟大鹏，</w:t>
      </w:r>
      <w:r>
        <w:rPr>
          <w:rFonts w:hint="default" w:ascii="仿宋_GB2312" w:hAnsi="仿宋_GB2312" w:eastAsia="仿宋_GB2312" w:cs="仿宋_GB2312"/>
          <w:sz w:val="32"/>
          <w:szCs w:val="32"/>
          <w:highlight w:val="none"/>
          <w:lang w:val="en-US" w:eastAsia="zh-CN"/>
        </w:rPr>
        <w:t>公交第二客运分公司驾驶员，北京市级技能大师工作室领办人、国务院政府特殊津贴获得者</w:t>
      </w:r>
      <w:r>
        <w:rPr>
          <w:rFonts w:hint="eastAsia" w:ascii="仿宋_GB2312" w:hAnsi="仿宋_GB2312" w:eastAsia="仿宋_GB2312" w:cs="仿宋_GB2312"/>
          <w:sz w:val="32"/>
          <w:szCs w:val="32"/>
          <w:highlight w:val="none"/>
          <w:lang w:val="en-US" w:eastAsia="zh-CN"/>
        </w:rPr>
        <w:t>，曾获</w:t>
      </w:r>
      <w:r>
        <w:rPr>
          <w:rFonts w:hint="default" w:ascii="仿宋_GB2312" w:hAnsi="仿宋_GB2312" w:eastAsia="仿宋_GB2312" w:cs="仿宋_GB2312"/>
          <w:sz w:val="32"/>
          <w:szCs w:val="32"/>
          <w:highlight w:val="none"/>
          <w:lang w:val="en-US" w:eastAsia="zh-CN"/>
        </w:rPr>
        <w:t>全国劳动模范、全国交通技术能手、北京大工匠</w:t>
      </w:r>
      <w:r>
        <w:rPr>
          <w:rFonts w:hint="eastAsia" w:ascii="仿宋_GB2312" w:hAnsi="仿宋_GB2312" w:eastAsia="仿宋_GB2312" w:cs="仿宋_GB2312"/>
          <w:sz w:val="32"/>
          <w:szCs w:val="32"/>
          <w:highlight w:val="none"/>
          <w:lang w:val="en-US" w:eastAsia="zh-CN"/>
        </w:rPr>
        <w:t>等荣誉称号</w:t>
      </w:r>
      <w:r>
        <w:rPr>
          <w:rFonts w:hint="default" w:ascii="仿宋_GB2312" w:hAnsi="仿宋_GB2312" w:eastAsia="仿宋_GB2312" w:cs="仿宋_GB2312"/>
          <w:sz w:val="32"/>
          <w:szCs w:val="32"/>
          <w:highlight w:val="none"/>
          <w:lang w:val="en-US" w:eastAsia="zh-CN"/>
        </w:rPr>
        <w:t>。</w:t>
      </w:r>
    </w:p>
    <w:p w14:paraId="12FD82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kern w:val="0"/>
          <w:sz w:val="32"/>
          <w:szCs w:val="32"/>
          <w:highlight w:val="none"/>
          <w:lang w:val="en-US" w:eastAsia="zh-CN" w:bidi="ar"/>
        </w:rPr>
      </w:pPr>
      <w:r>
        <w:rPr>
          <w:rFonts w:hint="eastAsia" w:ascii="仿宋_GB2312" w:hAnsi="宋体" w:eastAsia="仿宋_GB2312" w:cs="仿宋_GB2312"/>
          <w:kern w:val="0"/>
          <w:sz w:val="32"/>
          <w:szCs w:val="32"/>
          <w:highlight w:val="none"/>
          <w:lang w:val="en-US" w:eastAsia="zh-CN" w:bidi="ar"/>
        </w:rPr>
        <w:t>4.</w:t>
      </w:r>
      <w:r>
        <w:rPr>
          <w:rFonts w:hint="eastAsia" w:ascii="仿宋_GB2312" w:hAnsi="仿宋_GB2312" w:eastAsia="仿宋_GB2312" w:cs="仿宋_GB2312"/>
          <w:sz w:val="32"/>
          <w:szCs w:val="32"/>
          <w:highlight w:val="none"/>
          <w:lang w:val="en-US" w:eastAsia="zh-CN"/>
        </w:rPr>
        <w:t>常洪霞，北京公交集团第四客运分公司驾驶员，高级技师，曾获全国劳动模范等荣誉称号。</w:t>
      </w:r>
    </w:p>
    <w:p w14:paraId="3CF9865B">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仿宋_GB2312" w:hAnsi="宋体" w:eastAsia="仿宋_GB2312" w:cs="仿宋_GB2312"/>
          <w:kern w:val="0"/>
          <w:sz w:val="32"/>
          <w:szCs w:val="32"/>
          <w:highlight w:val="none"/>
          <w:lang w:val="en-US" w:eastAsia="zh-CN" w:bidi="ar"/>
        </w:rPr>
      </w:pPr>
      <w:r>
        <w:rPr>
          <w:rFonts w:hint="eastAsia" w:ascii="仿宋_GB2312" w:hAnsi="宋体" w:eastAsia="仿宋_GB2312" w:cs="仿宋_GB2312"/>
          <w:kern w:val="0"/>
          <w:sz w:val="32"/>
          <w:szCs w:val="32"/>
          <w:highlight w:val="none"/>
          <w:lang w:val="en-US" w:eastAsia="zh-CN" w:bidi="ar"/>
        </w:rPr>
        <w:t>5.孙崎峰，北京公交集团客三分公司公交驾驶员，曾获全国技术能手、全国五一劳动奖章获得者、全国模范退役军人</w:t>
      </w:r>
      <w:r>
        <w:rPr>
          <w:rFonts w:hint="eastAsia" w:ascii="仿宋_GB2312" w:hAnsi="仿宋_GB2312" w:eastAsia="仿宋_GB2312" w:cs="仿宋_GB2312"/>
          <w:sz w:val="32"/>
          <w:szCs w:val="32"/>
          <w:highlight w:val="none"/>
          <w:lang w:val="en-US" w:eastAsia="zh-CN"/>
        </w:rPr>
        <w:t>等荣誉称号</w:t>
      </w:r>
      <w:r>
        <w:rPr>
          <w:rFonts w:hint="eastAsia" w:ascii="仿宋_GB2312" w:hAnsi="宋体" w:eastAsia="仿宋_GB2312" w:cs="仿宋_GB2312"/>
          <w:kern w:val="0"/>
          <w:sz w:val="32"/>
          <w:szCs w:val="32"/>
          <w:highlight w:val="none"/>
          <w:lang w:val="en-US" w:eastAsia="zh-CN" w:bidi="ar"/>
        </w:rPr>
        <w:t>。</w:t>
      </w:r>
    </w:p>
    <w:p w14:paraId="3FEE89C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w:t>
      </w:r>
      <w:r>
        <w:rPr>
          <w:rFonts w:hint="eastAsia" w:ascii="黑体" w:hAnsi="黑体" w:eastAsia="黑体"/>
          <w:sz w:val="32"/>
          <w:szCs w:val="32"/>
          <w:highlight w:val="none"/>
          <w:lang w:eastAsia="zh-CN"/>
        </w:rPr>
        <w:t>考核评价</w:t>
      </w:r>
    </w:p>
    <w:p w14:paraId="6CAACF4F">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1.出勤考核：出勤比率达到80%及以上者，考勤考核合格。</w:t>
      </w:r>
    </w:p>
    <w:p w14:paraId="1789150B">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2.考试考核：包含理论考核、实操考核满分均为100分。</w:t>
      </w:r>
    </w:p>
    <w:p w14:paraId="7ECF0761">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（1）理论考核：闭卷笔试。</w:t>
      </w:r>
    </w:p>
    <w:p w14:paraId="619CB3F3">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（2）实操考核：</w:t>
      </w:r>
      <w:r>
        <w:rPr>
          <w:rFonts w:hint="eastAsia" w:ascii="仿宋_GB2312" w:hAnsi="仿宋_GB2312" w:eastAsia="仿宋_GB2312" w:cs="仿宋_GB2312"/>
          <w:b w:val="0"/>
          <w:bCs w:val="0"/>
          <w:sz w:val="32"/>
          <w:szCs w:val="32"/>
          <w:highlight w:val="none"/>
        </w:rPr>
        <w:t>风险防控</w:t>
      </w:r>
      <w:r>
        <w:rPr>
          <w:rFonts w:hint="eastAsia" w:ascii="仿宋_GB2312" w:hAnsi="仿宋_GB2312" w:eastAsia="仿宋_GB2312" w:cs="仿宋_GB2312"/>
          <w:b w:val="0"/>
          <w:bCs w:val="0"/>
          <w:sz w:val="32"/>
          <w:szCs w:val="32"/>
          <w:highlight w:val="none"/>
          <w:lang w:val="en-US" w:eastAsia="zh-CN"/>
        </w:rPr>
        <w:t>驾驶。</w:t>
      </w:r>
    </w:p>
    <w:p w14:paraId="4F0E97B7">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考勤考核占比</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0%，理论考核占比</w:t>
      </w:r>
      <w:r>
        <w:rPr>
          <w:rFonts w:hint="eastAsia" w:ascii="仿宋_GB2312" w:hAnsi="仿宋_GB2312" w:eastAsia="仿宋_GB2312" w:cs="仿宋_GB2312"/>
          <w:sz w:val="32"/>
          <w:szCs w:val="32"/>
          <w:highlight w:val="none"/>
          <w:lang w:val="en-US" w:eastAsia="zh-CN"/>
        </w:rPr>
        <w:t>40</w:t>
      </w:r>
      <w:r>
        <w:rPr>
          <w:rFonts w:hint="eastAsia" w:ascii="仿宋_GB2312" w:hAnsi="仿宋_GB2312" w:eastAsia="仿宋_GB2312" w:cs="仿宋_GB2312"/>
          <w:sz w:val="32"/>
          <w:szCs w:val="32"/>
          <w:highlight w:val="none"/>
        </w:rPr>
        <w:t>%，实操考试占比</w:t>
      </w:r>
      <w:r>
        <w:rPr>
          <w:rFonts w:hint="eastAsia" w:ascii="仿宋_GB2312" w:hAnsi="仿宋_GB2312" w:eastAsia="仿宋_GB2312" w:cs="仿宋_GB2312"/>
          <w:sz w:val="32"/>
          <w:szCs w:val="32"/>
          <w:highlight w:val="none"/>
          <w:lang w:val="en-US" w:eastAsia="zh-CN"/>
        </w:rPr>
        <w:t>40</w:t>
      </w:r>
      <w:r>
        <w:rPr>
          <w:rFonts w:hint="eastAsia" w:ascii="仿宋_GB2312" w:hAnsi="仿宋_GB2312" w:eastAsia="仿宋_GB2312" w:cs="仿宋_GB2312"/>
          <w:sz w:val="32"/>
          <w:szCs w:val="32"/>
          <w:highlight w:val="none"/>
        </w:rPr>
        <w:t>%，总成绩达到80分及以上，评定为考试考核合格。</w:t>
      </w:r>
    </w:p>
    <w:p w14:paraId="419377A2">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考勤考核与考试考核均合格者，将获得培训结业证书，并纳入北京市总工会技能人才库，未来将优先参加首都工匠学院举办的相关技术技能提升培训活动。</w:t>
      </w:r>
    </w:p>
    <w:p w14:paraId="3329195C">
      <w:pPr>
        <w:pStyle w:val="15"/>
        <w:pageBreakBefore w:val="0"/>
        <w:kinsoku/>
        <w:overflowPunct/>
        <w:topLinePunct w:val="0"/>
        <w:autoSpaceDE/>
        <w:autoSpaceDN/>
        <w:bidi w:val="0"/>
        <w:adjustRightInd/>
        <w:snapToGrid/>
        <w:spacing w:line="560" w:lineRule="exact"/>
        <w:ind w:firstLine="640"/>
        <w:jc w:val="left"/>
        <w:textAlignment w:val="auto"/>
        <w:rPr>
          <w:rFonts w:hint="eastAsia" w:ascii="黑体" w:hAnsi="黑体" w:eastAsia="黑体"/>
          <w:sz w:val="32"/>
          <w:szCs w:val="32"/>
          <w:highlight w:val="none"/>
        </w:rPr>
      </w:pPr>
      <w:r>
        <w:rPr>
          <w:rFonts w:hint="eastAsia" w:ascii="黑体" w:hAnsi="黑体" w:eastAsia="黑体"/>
          <w:sz w:val="32"/>
          <w:szCs w:val="32"/>
          <w:highlight w:val="none"/>
          <w:lang w:val="en-US" w:eastAsia="zh-CN"/>
        </w:rPr>
        <w:t>八</w:t>
      </w:r>
      <w:r>
        <w:rPr>
          <w:rFonts w:hint="eastAsia" w:ascii="黑体" w:hAnsi="黑体" w:eastAsia="黑体"/>
          <w:sz w:val="32"/>
          <w:szCs w:val="32"/>
          <w:highlight w:val="none"/>
        </w:rPr>
        <w:t>、注意事项</w:t>
      </w:r>
    </w:p>
    <w:p w14:paraId="6CF53653">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1.每个单位限推荐1</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名符合条件人员参加</w:t>
      </w:r>
      <w:r>
        <w:rPr>
          <w:rFonts w:hint="eastAsia" w:ascii="仿宋_GB2312" w:hAnsi="仿宋_GB2312" w:eastAsia="仿宋_GB2312" w:cs="仿宋_GB2312"/>
          <w:sz w:val="32"/>
          <w:szCs w:val="32"/>
          <w:highlight w:val="none"/>
          <w:lang w:val="en-US" w:eastAsia="zh-CN"/>
        </w:rPr>
        <w:t>培训</w:t>
      </w:r>
      <w:r>
        <w:rPr>
          <w:rFonts w:hint="eastAsia" w:ascii="仿宋_GB2312" w:hAnsi="仿宋_GB2312" w:eastAsia="仿宋_GB2312" w:cs="仿宋_GB2312"/>
          <w:sz w:val="32"/>
          <w:szCs w:val="32"/>
          <w:highlight w:val="none"/>
        </w:rPr>
        <w:t>，并于202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日前，</w:t>
      </w:r>
      <w:r>
        <w:rPr>
          <w:rFonts w:hint="eastAsia" w:ascii="仿宋_GB2312" w:hAnsi="仿宋_GB2312" w:eastAsia="仿宋_GB2312" w:cs="仿宋_GB2312"/>
          <w:sz w:val="32"/>
          <w:szCs w:val="32"/>
          <w:highlight w:val="none"/>
          <w:lang w:val="en-US" w:eastAsia="zh-CN"/>
        </w:rPr>
        <w:t>通过登录“技能人才培养网上服务平台”</w:t>
      </w:r>
      <w:r>
        <w:rPr>
          <w:rFonts w:hint="eastAsia" w:ascii="仿宋_GB2312" w:hAnsi="仿宋_GB2312" w:eastAsia="仿宋_GB2312" w:cs="仿宋_GB2312"/>
          <w:sz w:val="32"/>
          <w:szCs w:val="32"/>
          <w:highlight w:val="none"/>
        </w:rPr>
        <w:t>（https://www.sdzgeservice.cn/talentDevelopment）</w:t>
      </w:r>
      <w:r>
        <w:rPr>
          <w:rFonts w:hint="eastAsia" w:ascii="仿宋_GB2312" w:hAnsi="仿宋_GB2312" w:eastAsia="仿宋_GB2312" w:cs="仿宋_GB2312"/>
          <w:sz w:val="32"/>
          <w:szCs w:val="32"/>
          <w:highlight w:val="none"/>
          <w:lang w:val="en-US" w:eastAsia="zh-CN"/>
        </w:rPr>
        <w:t>，按照系统提示，完成线上报名。</w:t>
      </w:r>
    </w:p>
    <w:p w14:paraId="043BF47B">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2.报名材料纸质版（需加盖本级工会公章）请于报到当天提交至培训工作组，材料主要包括：学员报名表（由系统导出）、参训学员身份证复印件（正反面）、</w:t>
      </w:r>
      <w:r>
        <w:rPr>
          <w:rFonts w:hint="eastAsia" w:ascii="仿宋_GB2312" w:hAnsi="仿宋_GB2312" w:eastAsia="仿宋_GB2312" w:cs="仿宋_GB2312"/>
          <w:sz w:val="32"/>
          <w:szCs w:val="32"/>
          <w:highlight w:val="none"/>
          <w:lang w:val="en-US" w:eastAsia="zh-CN"/>
        </w:rPr>
        <w:t>技能人才评价证书或者相关专业学历证书复印件</w:t>
      </w:r>
      <w:r>
        <w:rPr>
          <w:rFonts w:hint="eastAsia" w:ascii="仿宋_GB2312" w:hAnsi="仿宋_GB2312" w:eastAsia="仿宋_GB2312" w:cs="仿宋_GB2312"/>
          <w:sz w:val="32"/>
          <w:szCs w:val="32"/>
          <w:highlight w:val="none"/>
        </w:rPr>
        <w:t>等。</w:t>
      </w:r>
    </w:p>
    <w:p w14:paraId="0B582F84">
      <w:pPr>
        <w:pStyle w:val="15"/>
        <w:pageBreakBefore w:val="0"/>
        <w:kinsoku/>
        <w:overflowPunct/>
        <w:topLinePunct w:val="0"/>
        <w:autoSpaceDE/>
        <w:autoSpaceDN/>
        <w:bidi w:val="0"/>
        <w:adjustRightInd/>
        <w:snapToGrid/>
        <w:spacing w:line="560" w:lineRule="exact"/>
        <w:ind w:firstLine="640"/>
        <w:jc w:val="left"/>
        <w:textAlignment w:val="auto"/>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3.本次培训为公益性培训，不收取相关费用。集中培训期间提供食宿。</w:t>
      </w:r>
    </w:p>
    <w:p w14:paraId="405C26DB">
      <w:pPr>
        <w:pStyle w:val="15"/>
        <w:pageBreakBefore w:val="0"/>
        <w:kinsoku/>
        <w:overflowPunct/>
        <w:topLinePunct w:val="0"/>
        <w:autoSpaceDE/>
        <w:autoSpaceDN/>
        <w:bidi w:val="0"/>
        <w:adjustRightInd/>
        <w:snapToGrid/>
        <w:spacing w:line="560" w:lineRule="exact"/>
        <w:ind w:firstLine="640"/>
        <w:jc w:val="left"/>
        <w:textAlignment w:val="auto"/>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4.学员报到时间：2026年8月20日下午2:00—8月21日上午8:00。</w:t>
      </w:r>
    </w:p>
    <w:p w14:paraId="14DB623C">
      <w:pPr>
        <w:pStyle w:val="15"/>
        <w:pageBreakBefore w:val="0"/>
        <w:numPr>
          <w:ilvl w:val="-1"/>
          <w:numId w:val="0"/>
        </w:numPr>
        <w:kinsoku/>
        <w:overflowPunct/>
        <w:topLinePunct w:val="0"/>
        <w:autoSpaceDE/>
        <w:autoSpaceDN/>
        <w:bidi w:val="0"/>
        <w:adjustRightInd/>
        <w:snapToGrid/>
        <w:spacing w:line="560" w:lineRule="exact"/>
        <w:ind w:firstLine="643" w:firstLineChars="200"/>
        <w:jc w:val="left"/>
        <w:textAlignment w:val="auto"/>
        <w:rPr>
          <w:rFonts w:hint="default" w:ascii="仿宋_GB2312" w:eastAsia="仿宋_GB2312"/>
          <w:b/>
          <w:bCs/>
          <w:sz w:val="32"/>
          <w:szCs w:val="32"/>
          <w:highlight w:val="none"/>
          <w:lang w:val="en-US" w:eastAsia="zh-CN"/>
        </w:rPr>
      </w:pPr>
      <w:r>
        <w:rPr>
          <w:rFonts w:hint="eastAsia" w:ascii="仿宋_GB2312" w:eastAsia="仿宋_GB2312"/>
          <w:b/>
          <w:bCs/>
          <w:sz w:val="32"/>
          <w:szCs w:val="32"/>
          <w:highlight w:val="none"/>
          <w:lang w:val="en-US" w:eastAsia="zh-CN"/>
        </w:rPr>
        <w:t>九、联系人</w:t>
      </w:r>
    </w:p>
    <w:p w14:paraId="21A67DC8">
      <w:pPr>
        <w:pStyle w:val="15"/>
        <w:keepNext w:val="0"/>
        <w:keepLines w:val="0"/>
        <w:pageBreakBefore w:val="0"/>
        <w:widowControl w:val="0"/>
        <w:kinsoku/>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首都工匠学院（北京市公共交通技师学院）：</w:t>
      </w:r>
    </w:p>
    <w:p w14:paraId="431879BB">
      <w:pPr>
        <w:pStyle w:val="15"/>
        <w:pageBreakBefore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孙占锁13011895339，张靖一13520080703</w:t>
      </w:r>
    </w:p>
    <w:p w14:paraId="4C71FC8F">
      <w:pPr>
        <w:pageBreakBefore w:val="0"/>
        <w:kinsoku/>
        <w:wordWrap w:val="0"/>
        <w:overflowPunct/>
        <w:topLinePunct w:val="0"/>
        <w:autoSpaceDE/>
        <w:autoSpaceDN/>
        <w:bidi w:val="0"/>
        <w:adjustRightInd/>
        <w:snapToGrid/>
        <w:spacing w:line="560" w:lineRule="exact"/>
        <w:ind w:firstLine="640" w:firstLineChars="200"/>
        <w:jc w:val="right"/>
        <w:textAlignment w:val="auto"/>
        <w:rPr>
          <w:rFonts w:hint="eastAsia" w:ascii="仿宋_GB2312" w:eastAsia="仿宋_GB2312"/>
          <w:sz w:val="32"/>
          <w:szCs w:val="32"/>
          <w:highlight w:val="none"/>
          <w:lang w:val="en-US" w:eastAsia="zh-CN"/>
        </w:rPr>
      </w:pPr>
    </w:p>
    <w:p w14:paraId="585A3C11">
      <w:pPr>
        <w:pStyle w:val="2"/>
        <w:pageBreakBefore w:val="0"/>
        <w:kinsoku/>
        <w:wordWrap/>
        <w:overflowPunct/>
        <w:topLinePunct w:val="0"/>
        <w:autoSpaceDE/>
        <w:autoSpaceDN/>
        <w:bidi w:val="0"/>
        <w:adjustRightInd/>
        <w:snapToGrid/>
        <w:spacing w:before="0" w:after="0" w:line="560" w:lineRule="exact"/>
        <w:textAlignment w:val="auto"/>
        <w:rPr>
          <w:rFonts w:hint="eastAsia"/>
          <w:highlight w:val="none"/>
          <w:lang w:val="en-US" w:eastAsia="zh-CN"/>
        </w:rPr>
      </w:pPr>
    </w:p>
    <w:p w14:paraId="4945D64A">
      <w:pPr>
        <w:pageBreakBefore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w:t>
      </w:r>
    </w:p>
    <w:p w14:paraId="70ED41C0">
      <w:pPr>
        <w:spacing w:line="560" w:lineRule="exact"/>
        <w:ind w:firstLine="1280" w:firstLineChars="400"/>
        <w:jc w:val="center"/>
        <w:rPr>
          <w:rFonts w:hint="default" w:ascii="仿宋_GB2312" w:eastAsia="仿宋_GB2312"/>
          <w:sz w:val="32"/>
          <w:szCs w:val="32"/>
          <w:highlight w:val="none"/>
          <w:lang w:val="en-US" w:eastAsia="zh-CN"/>
        </w:rPr>
      </w:pPr>
    </w:p>
    <w:sectPr>
      <w:footerReference r:id="rId3" w:type="default"/>
      <w:pgSz w:w="11906" w:h="16838"/>
      <w:pgMar w:top="2098" w:right="1474" w:bottom="1984" w:left="1587" w:header="884" w:footer="1276"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20BF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EC7C6">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EC7C6">
                    <w:pPr>
                      <w:pStyle w:val="7"/>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3528"/>
    <w:rsid w:val="0149295E"/>
    <w:rsid w:val="0179697A"/>
    <w:rsid w:val="01A25EDC"/>
    <w:rsid w:val="01BF7B19"/>
    <w:rsid w:val="02331706"/>
    <w:rsid w:val="031A401B"/>
    <w:rsid w:val="0345774A"/>
    <w:rsid w:val="03836C98"/>
    <w:rsid w:val="0450487C"/>
    <w:rsid w:val="04D860EE"/>
    <w:rsid w:val="06357879"/>
    <w:rsid w:val="070E33B9"/>
    <w:rsid w:val="07326CB9"/>
    <w:rsid w:val="08FB7F67"/>
    <w:rsid w:val="099322C7"/>
    <w:rsid w:val="0AD92328"/>
    <w:rsid w:val="0B2A7467"/>
    <w:rsid w:val="0C3338C9"/>
    <w:rsid w:val="0D104FD0"/>
    <w:rsid w:val="0D5C3328"/>
    <w:rsid w:val="0DEC5A04"/>
    <w:rsid w:val="0E732CE7"/>
    <w:rsid w:val="0FA2011E"/>
    <w:rsid w:val="10C80A0A"/>
    <w:rsid w:val="1176167F"/>
    <w:rsid w:val="11C56BB4"/>
    <w:rsid w:val="152541B0"/>
    <w:rsid w:val="1673362B"/>
    <w:rsid w:val="1687731F"/>
    <w:rsid w:val="16C136E5"/>
    <w:rsid w:val="178F297B"/>
    <w:rsid w:val="18052221"/>
    <w:rsid w:val="19AC576C"/>
    <w:rsid w:val="1B306902"/>
    <w:rsid w:val="1BE30EFF"/>
    <w:rsid w:val="1E422B29"/>
    <w:rsid w:val="1E8243CB"/>
    <w:rsid w:val="1F5F5E00"/>
    <w:rsid w:val="22193DD1"/>
    <w:rsid w:val="23FE19F4"/>
    <w:rsid w:val="244C44E5"/>
    <w:rsid w:val="24C543A1"/>
    <w:rsid w:val="260B15D1"/>
    <w:rsid w:val="262A2CBB"/>
    <w:rsid w:val="263F23CC"/>
    <w:rsid w:val="266254E2"/>
    <w:rsid w:val="268575A2"/>
    <w:rsid w:val="26C8461C"/>
    <w:rsid w:val="270124F0"/>
    <w:rsid w:val="271C3DDF"/>
    <w:rsid w:val="271C6F12"/>
    <w:rsid w:val="279B67E9"/>
    <w:rsid w:val="27A924E5"/>
    <w:rsid w:val="280D35FF"/>
    <w:rsid w:val="29233D8C"/>
    <w:rsid w:val="29382707"/>
    <w:rsid w:val="29806800"/>
    <w:rsid w:val="29FA4563"/>
    <w:rsid w:val="2AFF3BE5"/>
    <w:rsid w:val="2B1C3D63"/>
    <w:rsid w:val="2BBE4769"/>
    <w:rsid w:val="2CB21052"/>
    <w:rsid w:val="2D0F3144"/>
    <w:rsid w:val="2D770B83"/>
    <w:rsid w:val="2D904A6C"/>
    <w:rsid w:val="2E3F45EA"/>
    <w:rsid w:val="2E674331"/>
    <w:rsid w:val="2E801657"/>
    <w:rsid w:val="2E984B00"/>
    <w:rsid w:val="2EB33617"/>
    <w:rsid w:val="31C44181"/>
    <w:rsid w:val="326F020A"/>
    <w:rsid w:val="331B1B81"/>
    <w:rsid w:val="33515D89"/>
    <w:rsid w:val="336F6A99"/>
    <w:rsid w:val="33A92163"/>
    <w:rsid w:val="3552491B"/>
    <w:rsid w:val="35DF75B2"/>
    <w:rsid w:val="38BE6CBE"/>
    <w:rsid w:val="39552B37"/>
    <w:rsid w:val="39F43DED"/>
    <w:rsid w:val="3A0C5A67"/>
    <w:rsid w:val="3A3E2D9C"/>
    <w:rsid w:val="3A5B3A0E"/>
    <w:rsid w:val="3B2D7096"/>
    <w:rsid w:val="3B6A0AB3"/>
    <w:rsid w:val="3D3B766E"/>
    <w:rsid w:val="3EA65EE0"/>
    <w:rsid w:val="3EF01DFA"/>
    <w:rsid w:val="3EF048F8"/>
    <w:rsid w:val="3F3606C9"/>
    <w:rsid w:val="3F9F3D14"/>
    <w:rsid w:val="418A2FB1"/>
    <w:rsid w:val="41C9151C"/>
    <w:rsid w:val="42D65C43"/>
    <w:rsid w:val="437507E2"/>
    <w:rsid w:val="44D526A1"/>
    <w:rsid w:val="47170634"/>
    <w:rsid w:val="47BD49EC"/>
    <w:rsid w:val="48340D37"/>
    <w:rsid w:val="488009FE"/>
    <w:rsid w:val="48AF58A4"/>
    <w:rsid w:val="49140E4A"/>
    <w:rsid w:val="49FD664F"/>
    <w:rsid w:val="4A0D178B"/>
    <w:rsid w:val="4A4D0811"/>
    <w:rsid w:val="4A5A4E0C"/>
    <w:rsid w:val="4A9E1C5C"/>
    <w:rsid w:val="4CCC13E2"/>
    <w:rsid w:val="4D8A359A"/>
    <w:rsid w:val="4DE12CE4"/>
    <w:rsid w:val="4EC439E9"/>
    <w:rsid w:val="4F5A1A06"/>
    <w:rsid w:val="507D3D1D"/>
    <w:rsid w:val="51B25D1D"/>
    <w:rsid w:val="522F0119"/>
    <w:rsid w:val="524F7E77"/>
    <w:rsid w:val="535B5CDF"/>
    <w:rsid w:val="53706A37"/>
    <w:rsid w:val="53D03836"/>
    <w:rsid w:val="54005FE1"/>
    <w:rsid w:val="54146432"/>
    <w:rsid w:val="542F2E01"/>
    <w:rsid w:val="5497353F"/>
    <w:rsid w:val="54D12D0E"/>
    <w:rsid w:val="554B27D3"/>
    <w:rsid w:val="55733ABC"/>
    <w:rsid w:val="55C232F1"/>
    <w:rsid w:val="582253BA"/>
    <w:rsid w:val="58B8581B"/>
    <w:rsid w:val="5AA04289"/>
    <w:rsid w:val="5B9938B6"/>
    <w:rsid w:val="5BE27996"/>
    <w:rsid w:val="5C69538A"/>
    <w:rsid w:val="5C9546B0"/>
    <w:rsid w:val="5CBE43EC"/>
    <w:rsid w:val="5E1178CA"/>
    <w:rsid w:val="5E7906CF"/>
    <w:rsid w:val="5F0A525A"/>
    <w:rsid w:val="5FB7149A"/>
    <w:rsid w:val="5FEF1C64"/>
    <w:rsid w:val="612B003C"/>
    <w:rsid w:val="61635910"/>
    <w:rsid w:val="62364CFF"/>
    <w:rsid w:val="63E44EBF"/>
    <w:rsid w:val="66125141"/>
    <w:rsid w:val="66AA5829"/>
    <w:rsid w:val="68EA7D6B"/>
    <w:rsid w:val="69350634"/>
    <w:rsid w:val="6A871420"/>
    <w:rsid w:val="6B297E9F"/>
    <w:rsid w:val="6BB411DB"/>
    <w:rsid w:val="6C4C13FC"/>
    <w:rsid w:val="6CB40633"/>
    <w:rsid w:val="6D3900FA"/>
    <w:rsid w:val="6D606E1A"/>
    <w:rsid w:val="6D793C12"/>
    <w:rsid w:val="6E126B0D"/>
    <w:rsid w:val="6E33307A"/>
    <w:rsid w:val="6ED43FE2"/>
    <w:rsid w:val="6FA80114"/>
    <w:rsid w:val="6FF72313"/>
    <w:rsid w:val="707E4226"/>
    <w:rsid w:val="70C06D67"/>
    <w:rsid w:val="713E625B"/>
    <w:rsid w:val="716252C6"/>
    <w:rsid w:val="743431B5"/>
    <w:rsid w:val="74B9560C"/>
    <w:rsid w:val="750C7615"/>
    <w:rsid w:val="762F1FFB"/>
    <w:rsid w:val="76E55340"/>
    <w:rsid w:val="77217C2E"/>
    <w:rsid w:val="77457DC9"/>
    <w:rsid w:val="77620752"/>
    <w:rsid w:val="78830EC5"/>
    <w:rsid w:val="78F47F26"/>
    <w:rsid w:val="79AE114A"/>
    <w:rsid w:val="7A2F24A2"/>
    <w:rsid w:val="7BCE7A18"/>
    <w:rsid w:val="7BEC1388"/>
    <w:rsid w:val="7C22560E"/>
    <w:rsid w:val="7C8E50F0"/>
    <w:rsid w:val="7CF9397F"/>
    <w:rsid w:val="7D3F583D"/>
    <w:rsid w:val="7DFD5C85"/>
    <w:rsid w:val="7F142AD7"/>
    <w:rsid w:val="7F4705C3"/>
    <w:rsid w:val="7F6E4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qFormat/>
    <w:uiPriority w:val="0"/>
    <w:pPr>
      <w:keepNext/>
      <w:keepLines/>
      <w:spacing w:before="260" w:after="260" w:line="413" w:lineRule="auto"/>
      <w:outlineLvl w:val="1"/>
    </w:pPr>
    <w:rPr>
      <w:rFonts w:ascii="Arial" w:hAnsi="Arial" w:eastAsia="华文仿宋"/>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index 5"/>
    <w:basedOn w:val="1"/>
    <w:next w:val="1"/>
    <w:unhideWhenUsed/>
    <w:qFormat/>
    <w:uiPriority w:val="0"/>
    <w:pPr>
      <w:spacing w:beforeLines="0" w:afterLines="0"/>
      <w:ind w:left="1680"/>
    </w:pPr>
    <w:rPr>
      <w:rFonts w:hint="eastAsia" w:ascii="Calibri" w:hAnsi="Calibri" w:eastAsia="宋体" w:cs="Times New Roman"/>
      <w:sz w:val="24"/>
    </w:rPr>
  </w:style>
  <w:style w:type="paragraph" w:styleId="4">
    <w:name w:val="annotation text"/>
    <w:basedOn w:val="1"/>
    <w:qFormat/>
    <w:uiPriority w:val="0"/>
    <w:pPr>
      <w:jc w:val="left"/>
    </w:pPr>
  </w:style>
  <w:style w:type="paragraph" w:styleId="5">
    <w:name w:val="Body Text"/>
    <w:basedOn w:val="6"/>
    <w:next w:val="6"/>
    <w:qFormat/>
    <w:uiPriority w:val="0"/>
    <w:pPr>
      <w:widowControl w:val="0"/>
      <w:spacing w:after="140" w:line="276" w:lineRule="auto"/>
      <w:jc w:val="both"/>
    </w:pPr>
    <w:rPr>
      <w:rFonts w:asciiTheme="minorHAnsi" w:hAnsiTheme="minorHAnsi" w:eastAsiaTheme="minorEastAsia" w:cstheme="minorBidi"/>
      <w:kern w:val="2"/>
      <w:sz w:val="21"/>
      <w:szCs w:val="22"/>
      <w:lang w:val="en-US" w:eastAsia="zh-CN" w:bidi="ar-SA"/>
    </w:rPr>
  </w:style>
  <w:style w:type="paragraph" w:styleId="6">
    <w:name w:val="Title"/>
    <w:next w:val="1"/>
    <w:qFormat/>
    <w:uiPriority w:val="10"/>
    <w:pPr>
      <w:widowControl/>
      <w:spacing w:line="700" w:lineRule="exact"/>
      <w:jc w:val="center"/>
      <w:textAlignment w:val="top"/>
      <w:outlineLvl w:val="0"/>
    </w:pPr>
    <w:rPr>
      <w:rFonts w:ascii="Times New Roman" w:hAnsi="Times New Roman" w:eastAsia="方正小标宋简体" w:cstheme="majorBidi"/>
      <w:b/>
      <w:bCs/>
      <w:sz w:val="44"/>
      <w:szCs w:val="32"/>
    </w:rPr>
  </w:style>
  <w:style w:type="paragraph" w:styleId="7">
    <w:name w:val="footer"/>
    <w:basedOn w:val="1"/>
    <w:next w:val="3"/>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Emphasis"/>
    <w:basedOn w:val="12"/>
    <w:qFormat/>
    <w:uiPriority w:val="0"/>
    <w:rPr>
      <w:i/>
    </w:rPr>
  </w:style>
  <w:style w:type="character" w:styleId="14">
    <w:name w:val="Hyperlink"/>
    <w:basedOn w:val="12"/>
    <w:qFormat/>
    <w:uiPriority w:val="0"/>
    <w:rPr>
      <w:color w:val="0000FF"/>
      <w:u w:val="single"/>
    </w:rPr>
  </w:style>
  <w:style w:type="paragraph" w:styleId="15">
    <w:name w:val="List Paragraph"/>
    <w:basedOn w:val="1"/>
    <w:unhideWhenUsed/>
    <w:qFormat/>
    <w:uiPriority w:val="99"/>
    <w:pPr>
      <w:ind w:firstLine="420" w:firstLineChars="200"/>
    </w:pPr>
  </w:style>
  <w:style w:type="character" w:customStyle="1" w:styleId="16">
    <w:name w:val="标题 2 Char"/>
    <w:basedOn w:val="12"/>
    <w:link w:val="2"/>
    <w:qFormat/>
    <w:uiPriority w:val="0"/>
    <w:rPr>
      <w:rFonts w:ascii="Arial" w:hAnsi="Arial" w:eastAsia="华文仿宋"/>
      <w:b/>
      <w:sz w:val="32"/>
    </w:rPr>
  </w:style>
  <w:style w:type="paragraph" w:customStyle="1" w:styleId="17">
    <w:name w:val="Body Text First Indent 21"/>
    <w:next w:val="5"/>
    <w:qFormat/>
    <w:uiPriority w:val="0"/>
    <w:pPr>
      <w:widowControl w:val="0"/>
      <w:spacing w:line="500" w:lineRule="exact"/>
      <w:ind w:firstLine="420" w:firstLineChars="200"/>
      <w:jc w:val="both"/>
    </w:pPr>
    <w:rPr>
      <w:rFonts w:ascii="Times New Roman" w:hAnsi="Times New Roman" w:cs="Times New Roman" w:eastAsiaTheme="minorEastAsia"/>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1633</Words>
  <Characters>1800</Characters>
  <Lines>0</Lines>
  <Paragraphs>0</Paragraphs>
  <TotalTime>20</TotalTime>
  <ScaleCrop>false</ScaleCrop>
  <LinksUpToDate>false</LinksUpToDate>
  <CharactersWithSpaces>1841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2024-09-20T02:47:00Z</dcterms:created>
  <dc:creator>Lenovo</dc:creator>
  <cp:lastModifiedBy>Mts</cp:lastModifiedBy>
  <dcterms:modified xsi:type="dcterms:W3CDTF">2026-07-27T01:03:45Z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E1EBB89B927E424D92D9FBB70A137B9B_13</vt:lpwstr>
  </property>
  <property fmtid="{D5CDD505-2E9C-101B-9397-08002B2CF9AE}" pid="4" name="KSOTemplateDocerSaveRecord">
    <vt:lpwstr>eyJoZGlkIjoiODIyZjBhODZjMzAyZGIzMTkyOGYxY2Y4ZGYyNTY1YWEiLCJ1c2VySWQiOiIzMTEzMTA2MjYifQ==</vt:lpwstr>
  </property>
</Properties>
</file>