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center"/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</w:pPr>
      <w:r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  <w:t>2026年</w:t>
      </w:r>
      <w:r>
        <w:rPr>
          <w:rFonts w:hint="eastAsia" w:ascii="方正小标宋简体" w:hAnsi="仿宋" w:eastAsia="方正小标宋简体" w:cs="宋体"/>
          <w:kern w:val="0"/>
          <w:sz w:val="44"/>
          <w:szCs w:val="30"/>
        </w:rPr>
        <w:t>北京市</w:t>
      </w:r>
      <w:r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  <w:t>职工</w:t>
      </w:r>
      <w:r>
        <w:rPr>
          <w:rFonts w:hint="eastAsia" w:ascii="方正小标宋简体" w:hAnsi="仿宋" w:eastAsia="方正小标宋简体" w:cs="宋体"/>
          <w:kern w:val="0"/>
          <w:sz w:val="44"/>
          <w:szCs w:val="30"/>
        </w:rPr>
        <w:t>职业技能</w:t>
      </w:r>
      <w:r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  <w:t>大赛</w:t>
      </w:r>
    </w:p>
    <w:p>
      <w:pPr>
        <w:widowControl/>
        <w:spacing w:line="560" w:lineRule="exact"/>
        <w:jc w:val="center"/>
        <w:rPr>
          <w:rFonts w:hint="eastAsia" w:ascii="方正小标宋简体" w:hAnsi="宋体" w:eastAsia="方正小标宋简体" w:cs="仿宋"/>
          <w:sz w:val="44"/>
          <w:szCs w:val="32"/>
        </w:rPr>
      </w:pPr>
      <w:r>
        <w:rPr>
          <w:rFonts w:hint="eastAsia" w:ascii="方正小标宋简体" w:hAnsi="仿宋" w:eastAsia="方正小标宋简体" w:cs="宋体"/>
          <w:kern w:val="0"/>
          <w:sz w:val="44"/>
          <w:szCs w:val="30"/>
          <w:lang w:val="en-US" w:eastAsia="zh-CN"/>
        </w:rPr>
        <w:t>XXXX</w:t>
      </w:r>
      <w:r>
        <w:rPr>
          <w:rFonts w:hint="eastAsia" w:ascii="方正小标宋简体" w:hAnsi="宋体" w:eastAsia="方正小标宋简体" w:cs="仿宋"/>
          <w:sz w:val="44"/>
          <w:szCs w:val="32"/>
          <w:lang w:val="en-US" w:eastAsia="zh-CN"/>
        </w:rPr>
        <w:t>竞赛</w:t>
      </w:r>
      <w:r>
        <w:rPr>
          <w:rFonts w:hint="eastAsia" w:ascii="方正小标宋简体" w:hAnsi="宋体" w:eastAsia="方正小标宋简体" w:cs="仿宋"/>
          <w:sz w:val="44"/>
          <w:szCs w:val="32"/>
        </w:rPr>
        <w:t>项目</w:t>
      </w:r>
      <w:r>
        <w:rPr>
          <w:rFonts w:hint="eastAsia" w:ascii="方正小标宋简体" w:hAnsi="宋体" w:eastAsia="方正小标宋简体" w:cs="仿宋"/>
          <w:sz w:val="44"/>
          <w:szCs w:val="32"/>
          <w:lang w:val="en-US" w:eastAsia="zh-CN"/>
        </w:rPr>
        <w:t>工作</w:t>
      </w:r>
      <w:r>
        <w:rPr>
          <w:rFonts w:hint="eastAsia" w:ascii="方正小标宋简体" w:hAnsi="宋体" w:eastAsia="方正小标宋简体" w:cs="仿宋"/>
          <w:sz w:val="44"/>
          <w:szCs w:val="32"/>
        </w:rPr>
        <w:t>方案</w:t>
      </w:r>
    </w:p>
    <w:p>
      <w:pPr>
        <w:widowControl/>
        <w:spacing w:line="560" w:lineRule="exact"/>
        <w:jc w:val="center"/>
        <w:rPr>
          <w:rFonts w:hint="eastAsia" w:ascii="方正小标宋简体" w:hAnsi="宋体" w:eastAsia="方正小标宋简体" w:cs="仿宋"/>
          <w:sz w:val="44"/>
          <w:szCs w:val="32"/>
          <w:lang w:eastAsia="zh-CN"/>
        </w:rPr>
      </w:pPr>
      <w:r>
        <w:rPr>
          <w:rFonts w:hint="eastAsia" w:ascii="方正小标宋简体" w:hAnsi="宋体" w:eastAsia="方正小标宋简体" w:cs="仿宋"/>
          <w:sz w:val="44"/>
          <w:szCs w:val="32"/>
          <w:lang w:eastAsia="zh-CN"/>
        </w:rPr>
        <w:t>（</w:t>
      </w:r>
      <w:r>
        <w:rPr>
          <w:rFonts w:hint="eastAsia" w:ascii="方正小标宋简体" w:hAnsi="宋体" w:eastAsia="方正小标宋简体" w:cs="仿宋"/>
          <w:sz w:val="44"/>
          <w:szCs w:val="32"/>
          <w:lang w:val="en-US" w:eastAsia="zh-CN"/>
        </w:rPr>
        <w:t>参考模板</w:t>
      </w:r>
      <w:r>
        <w:rPr>
          <w:rFonts w:hint="eastAsia" w:ascii="方正小标宋简体" w:hAnsi="宋体" w:eastAsia="方正小标宋简体" w:cs="仿宋"/>
          <w:sz w:val="44"/>
          <w:szCs w:val="32"/>
          <w:lang w:eastAsia="zh-CN"/>
        </w:rPr>
        <w:t>）</w:t>
      </w:r>
    </w:p>
    <w:p>
      <w:pPr>
        <w:widowControl/>
        <w:spacing w:line="560" w:lineRule="exact"/>
        <w:jc w:val="center"/>
        <w:rPr>
          <w:rFonts w:hint="eastAsia" w:ascii="方正小标宋简体" w:hAnsi="宋体" w:eastAsia="方正小标宋简体" w:cs="仿宋"/>
          <w:sz w:val="44"/>
          <w:szCs w:val="3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承办单位情况和竞赛基本情况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1.承办单位情况[须填写竞赛承办单位的全称]应包括：承办单位的业务（职责）方向和领域、单位性质、</w:t>
      </w:r>
      <w:bookmarkStart w:id="0" w:name="OLE_LINK1"/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是否在</w:t>
      </w:r>
      <w:r>
        <w:rPr>
          <w:rStyle w:val="53"/>
          <w:rFonts w:hint="eastAsia" w:ascii="仿宋_GB2312" w:hAnsi="仿宋" w:eastAsia="仿宋_GB2312" w:cs="Arial"/>
          <w:sz w:val="32"/>
          <w:szCs w:val="32"/>
        </w:rPr>
        <w:t>过往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有承办或</w:t>
      </w:r>
      <w:r>
        <w:rPr>
          <w:rStyle w:val="53"/>
          <w:rFonts w:hint="eastAsia" w:ascii="仿宋_GB2312" w:hAnsi="仿宋" w:eastAsia="仿宋_GB2312" w:cs="Arial"/>
          <w:sz w:val="32"/>
          <w:szCs w:val="32"/>
        </w:rPr>
        <w:t>协办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相关赛事的</w:t>
      </w:r>
      <w:r>
        <w:rPr>
          <w:rStyle w:val="53"/>
          <w:rFonts w:hint="eastAsia" w:ascii="仿宋_GB2312" w:hAnsi="仿宋" w:eastAsia="仿宋_GB2312" w:cs="Arial"/>
          <w:sz w:val="32"/>
          <w:szCs w:val="32"/>
        </w:rPr>
        <w:t>经验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eastAsia="zh-CN"/>
        </w:rPr>
        <w:t>。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若申报单位非承办单位，须明确承办单位与申报单位的关系。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2.竞赛基本情况应包括</w:t>
      </w:r>
      <w:bookmarkEnd w:id="0"/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：竞赛级别、参赛职业（工种）全称及职业标准、大赛及竞赛的名称、是否为取得职业技能等级证书赛项，主办与承办单位等信息，本次竞赛拟举办时间节点、拟举办地点、参赛选手的来源与规模的介绍等。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二、工作目标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承办竞赛工作的目标，包括指导思想，大赛主旨、赛前准备、赛事组织，赛训结合方式等。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三、组织架构及职责分工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1.竞赛组织委员会（以下简称竞赛组委会）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主  任：承办单位领导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副组长：承办单位各参与部门主管领导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成  员：承办单位各参与部门负责人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按照“谁承办、谁负责”的原则，竞赛组委会负责统筹竞赛的组织管理和协调工作。下设：竞赛办公室、竞赛命题专家委员会、竞赛评判委员会、竞赛仲裁专家委员会和宣传后勤组等。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2.竞赛办公室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主  任：竞赛工作主管领导（竞赛组委会副组长）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副主任：竞赛、后勤、财务、安全、宣传等部门领导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成  员：相关部门负责人，由承办单位竞赛联系人负责联络。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  <w:t>具体负责竞赛的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联络、</w:t>
      </w:r>
      <w:r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  <w:t>组织安排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、</w:t>
      </w:r>
      <w:r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  <w:t>日常管理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及各相关材料收集核对工作；及时与大赛组委会做好沟通，对竞赛整体工作负责。负责竞赛期间安全管理，负责竞赛应急处理工作。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Arial"/>
          <w:kern w:val="2"/>
          <w:sz w:val="32"/>
          <w:szCs w:val="32"/>
          <w:lang w:val="en-US" w:eastAsia="zh-CN" w:bidi="ar-SA"/>
        </w:rPr>
        <w:t>3.</w:t>
      </w: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竞赛技术专家委员会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Arial"/>
          <w:kern w:val="2"/>
          <w:sz w:val="32"/>
          <w:szCs w:val="32"/>
          <w:lang w:val="en-US" w:eastAsia="zh-CN" w:bidi="ar-SA"/>
        </w:rPr>
        <w:t>（1）命题组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具体负责竞赛项目相关技术工作。专家组由1名专家组长、2-4技术指导专家构成，主要负责技术文件、样题、试题、评分标准的制定。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（2）裁判组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具体负责竞赛期间的评判工作。裁判人员包括各赛项裁判组全体成员，分为裁判长（由命题专家委员会组长兼任）和裁判员。所有裁判员须经过培训，具有裁判员的相关资质，持证上岗。裁判人数、执裁等级按照竞赛级别要求确定。同时，要负责做好裁判人员的管理和培训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（3）仲裁组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具体负责对赛区考核全过程实施监督，协助处理各类违规行为或争议情况，负责受理竞赛中出现的所有申诉并进行仲裁，仲裁组的裁决为最终裁决。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4.赛务工作组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配合竞赛办公室工作。负责赛前赛场内外的各项准备、设备检测和维护，按照赛题要求准备设备、工件、工具和相关材料等；负责领队、教练、选手签到表制作；负责选手及有关人员的签到、接待、引导参赛选手进入参赛场地，布置考场、组织监考，掌握考试时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配合裁判组。确保试卷保密接送，现场组织选手参加考试等。协助裁判组开展执裁工作。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5.竞赛宣传及后勤保障组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具体负责采集竞赛相关信息及宣传报道等。同时负责赛区场地环境布置、交通车辆安排、餐饮住宿安排等后勤服务保障。视竞赛实际情况，人员与业务可与赛务组合并。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四、组织方式及竞赛形式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 xml:space="preserve">    1.组织方式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须明确内容：竞赛共分为几个阶段、各阶段具体负责的组织和实施单位；参赛选手在各级比赛的晋级规则；竞赛的相关要求。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2.竞赛形式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须明确内容：各级比赛的考试方式，包含实操与理论分数的占比、试题出题标准和及竞赛的相关行业相关实施执行标准。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3.参赛选手的要求及其他需明确的内容（如着装、参赛资格、明确参赛所需工具准备和安全生产用品用具）。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640" w:firstLineChars="200"/>
        <w:textAlignment w:val="auto"/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五、工作进度安排表（参考）</w:t>
      </w:r>
    </w:p>
    <w:tbl>
      <w:tblPr>
        <w:tblStyle w:val="2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3855"/>
        <w:gridCol w:w="1404"/>
        <w:gridCol w:w="1146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事项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完成时间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责任人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召开专题工作会，布置工作、明确分工及任务角色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完成工作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组建专家组、组织命题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完成技术文件、样题发布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Fonts w:hint="eastAsia" w:ascii="仿宋_GB2312" w:hAnsi="仿宋" w:eastAsia="仿宋_GB2312" w:cs="Arial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仿宋_GB2312" w:hAnsi="仿宋" w:eastAsia="仿宋_GB2312" w:cs="Arial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场地、设备的调试准备，组织人员测试大赛系统平台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Fonts w:hint="eastAsia" w:ascii="仿宋_GB2312" w:hAnsi="仿宋" w:eastAsia="仿宋_GB2312" w:cs="Arial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仿宋_GB2312" w:hAnsi="仿宋" w:eastAsia="仿宋_GB2312" w:cs="Arial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宣传动员及组织选手报名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Fonts w:hint="eastAsia" w:ascii="仿宋_GB2312" w:hAnsi="仿宋" w:eastAsia="仿宋_GB2312" w:cs="Arial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Fonts w:hint="eastAsia" w:ascii="仿宋_GB2312" w:hAnsi="仿宋" w:eastAsia="仿宋_GB2312" w:cs="Arial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赛前培训、赛前资料检查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竞赛实施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赛中资料检查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成绩公示及确认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竞赛材料收集、征集及上报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both"/>
              <w:textAlignment w:val="auto"/>
              <w:rPr>
                <w:rStyle w:val="53"/>
                <w:rFonts w:hint="default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表扬材料发放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80" w:firstLineChars="100"/>
              <w:jc w:val="both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  <w:r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  <w:t>月  日</w:t>
            </w:r>
          </w:p>
        </w:tc>
        <w:tc>
          <w:tcPr>
            <w:tcW w:w="1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center"/>
              <w:textAlignment w:val="auto"/>
              <w:rPr>
                <w:rStyle w:val="53"/>
                <w:rFonts w:hint="eastAsia" w:ascii="仿宋_GB2312" w:hAnsi="仿宋" w:eastAsia="仿宋_GB2312" w:cs="Arial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六、竞赛的奖励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黑体" w:hAnsi="黑体" w:eastAsia="黑体" w:cs="黑体"/>
          <w:sz w:val="32"/>
          <w:szCs w:val="32"/>
          <w:lang w:val="en-US" w:eastAsia="zh-CN"/>
        </w:rPr>
        <w:t>七、工作要求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包括：其他工作沟通机制，保障机制、竞赛纪律等。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承办单位全称（盖章）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Style w:val="53"/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Style w:val="53"/>
          <w:rFonts w:hint="eastAsia" w:ascii="仿宋_GB2312" w:hAnsi="仿宋" w:eastAsia="仿宋_GB2312" w:cs="Arial"/>
          <w:sz w:val="32"/>
          <w:szCs w:val="32"/>
          <w:lang w:val="en-US" w:eastAsia="zh-CN"/>
        </w:rPr>
        <w:t>2026年  月  日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ΟGB2312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wordWrap w:val="0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wordWrap w:val="0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Brhfn7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wordWrap w:val="0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280" w:firstLineChars="100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ind w:firstLine="280" w:firstLineChars="100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Akgka0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ind w:firstLine="280" w:firstLineChars="100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MGEwMTg0NjQ0YWU1YTYyMWVkMmM4NWFmNWQ4MDQifQ=="/>
  </w:docVars>
  <w:rsids>
    <w:rsidRoot w:val="00000000"/>
    <w:rsid w:val="05655F9D"/>
    <w:rsid w:val="05976A97"/>
    <w:rsid w:val="07D06FDE"/>
    <w:rsid w:val="0B7763F8"/>
    <w:rsid w:val="0C6A2581"/>
    <w:rsid w:val="0CD876E8"/>
    <w:rsid w:val="10B14BD7"/>
    <w:rsid w:val="12832035"/>
    <w:rsid w:val="12BB49D3"/>
    <w:rsid w:val="14922C50"/>
    <w:rsid w:val="18F5277F"/>
    <w:rsid w:val="19C26650"/>
    <w:rsid w:val="1F21500B"/>
    <w:rsid w:val="21F452B3"/>
    <w:rsid w:val="28D94905"/>
    <w:rsid w:val="29BB6793"/>
    <w:rsid w:val="2A044327"/>
    <w:rsid w:val="32E20907"/>
    <w:rsid w:val="33320EB9"/>
    <w:rsid w:val="33C360E5"/>
    <w:rsid w:val="488D40E7"/>
    <w:rsid w:val="48C02D5C"/>
    <w:rsid w:val="51CB71BA"/>
    <w:rsid w:val="5C5E0AD5"/>
    <w:rsid w:val="63C067C2"/>
    <w:rsid w:val="6B9C3337"/>
    <w:rsid w:val="6CB852DB"/>
    <w:rsid w:val="6F6F321B"/>
    <w:rsid w:val="6F9E6892"/>
    <w:rsid w:val="71290310"/>
    <w:rsid w:val="74943367"/>
    <w:rsid w:val="77EFF24C"/>
    <w:rsid w:val="78784B85"/>
    <w:rsid w:val="7ECE110A"/>
    <w:rsid w:val="EFDF0B1D"/>
    <w:rsid w:val="F7DF87F3"/>
    <w:rsid w:val="FD805DC8"/>
    <w:rsid w:val="FE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21798E"/>
      <w:kern w:val="0"/>
      <w:sz w:val="28"/>
      <w:szCs w:val="28"/>
    </w:rPr>
  </w:style>
  <w:style w:type="paragraph" w:styleId="3">
    <w:name w:val="heading 2"/>
    <w:basedOn w:val="1"/>
    <w:next w:val="1"/>
    <w:link w:val="26"/>
    <w:qFormat/>
    <w:uiPriority w:val="9"/>
    <w:pPr>
      <w:keepNext/>
      <w:keepLines/>
      <w:widowControl/>
      <w:spacing w:before="200" w:line="276" w:lineRule="auto"/>
      <w:jc w:val="left"/>
      <w:outlineLvl w:val="1"/>
    </w:pPr>
    <w:rPr>
      <w:rFonts w:ascii="Cambria" w:hAnsi="Cambria"/>
      <w:b/>
      <w:bCs/>
      <w:color w:val="2DA2BF"/>
      <w:kern w:val="0"/>
      <w:sz w:val="26"/>
      <w:szCs w:val="26"/>
    </w:rPr>
  </w:style>
  <w:style w:type="paragraph" w:styleId="4">
    <w:name w:val="heading 3"/>
    <w:basedOn w:val="1"/>
    <w:next w:val="1"/>
    <w:link w:val="27"/>
    <w:qFormat/>
    <w:uiPriority w:val="9"/>
    <w:pPr>
      <w:keepNext/>
      <w:keepLines/>
      <w:widowControl/>
      <w:spacing w:before="200" w:line="276" w:lineRule="auto"/>
      <w:jc w:val="left"/>
      <w:outlineLvl w:val="2"/>
    </w:pPr>
    <w:rPr>
      <w:rFonts w:ascii="Cambria" w:hAnsi="Cambria"/>
      <w:b/>
      <w:bCs/>
      <w:color w:val="2DA2BF"/>
      <w:kern w:val="0"/>
      <w:sz w:val="20"/>
      <w:szCs w:val="20"/>
    </w:rPr>
  </w:style>
  <w:style w:type="paragraph" w:styleId="5">
    <w:name w:val="heading 4"/>
    <w:basedOn w:val="1"/>
    <w:next w:val="1"/>
    <w:link w:val="28"/>
    <w:qFormat/>
    <w:uiPriority w:val="9"/>
    <w:pPr>
      <w:keepNext/>
      <w:keepLines/>
      <w:widowControl/>
      <w:spacing w:before="200" w:line="276" w:lineRule="auto"/>
      <w:jc w:val="left"/>
      <w:outlineLvl w:val="3"/>
    </w:pPr>
    <w:rPr>
      <w:rFonts w:ascii="Cambria" w:hAnsi="Cambria"/>
      <w:b/>
      <w:bCs/>
      <w:i/>
      <w:iCs/>
      <w:color w:val="2DA2BF"/>
      <w:kern w:val="0"/>
      <w:sz w:val="20"/>
      <w:szCs w:val="20"/>
    </w:rPr>
  </w:style>
  <w:style w:type="paragraph" w:styleId="6">
    <w:name w:val="heading 5"/>
    <w:basedOn w:val="1"/>
    <w:next w:val="1"/>
    <w:link w:val="29"/>
    <w:qFormat/>
    <w:uiPriority w:val="9"/>
    <w:pPr>
      <w:keepNext/>
      <w:keepLines/>
      <w:widowControl/>
      <w:spacing w:before="200" w:line="276" w:lineRule="auto"/>
      <w:jc w:val="left"/>
      <w:outlineLvl w:val="4"/>
    </w:pPr>
    <w:rPr>
      <w:rFonts w:ascii="Cambria" w:hAnsi="Cambria"/>
      <w:color w:val="16505E"/>
      <w:kern w:val="0"/>
      <w:sz w:val="20"/>
      <w:szCs w:val="20"/>
    </w:rPr>
  </w:style>
  <w:style w:type="paragraph" w:styleId="7">
    <w:name w:val="heading 6"/>
    <w:basedOn w:val="1"/>
    <w:next w:val="1"/>
    <w:link w:val="30"/>
    <w:qFormat/>
    <w:uiPriority w:val="9"/>
    <w:pPr>
      <w:keepNext/>
      <w:keepLines/>
      <w:widowControl/>
      <w:spacing w:before="200" w:line="276" w:lineRule="auto"/>
      <w:jc w:val="left"/>
      <w:outlineLvl w:val="5"/>
    </w:pPr>
    <w:rPr>
      <w:rFonts w:ascii="Cambria" w:hAnsi="Cambria"/>
      <w:i/>
      <w:iCs/>
      <w:color w:val="16505E"/>
      <w:kern w:val="0"/>
      <w:sz w:val="20"/>
      <w:szCs w:val="20"/>
    </w:rPr>
  </w:style>
  <w:style w:type="paragraph" w:styleId="8">
    <w:name w:val="heading 7"/>
    <w:basedOn w:val="1"/>
    <w:next w:val="1"/>
    <w:link w:val="31"/>
    <w:qFormat/>
    <w:uiPriority w:val="9"/>
    <w:pPr>
      <w:keepNext/>
      <w:keepLines/>
      <w:widowControl/>
      <w:spacing w:before="200" w:line="276" w:lineRule="auto"/>
      <w:jc w:val="left"/>
      <w:outlineLvl w:val="6"/>
    </w:pPr>
    <w:rPr>
      <w:rFonts w:ascii="Cambria" w:hAnsi="Cambria"/>
      <w:i/>
      <w:iCs/>
      <w:color w:val="404040"/>
      <w:kern w:val="0"/>
      <w:sz w:val="20"/>
      <w:szCs w:val="20"/>
    </w:rPr>
  </w:style>
  <w:style w:type="paragraph" w:styleId="9">
    <w:name w:val="heading 8"/>
    <w:basedOn w:val="1"/>
    <w:next w:val="1"/>
    <w:link w:val="32"/>
    <w:qFormat/>
    <w:uiPriority w:val="9"/>
    <w:pPr>
      <w:keepNext/>
      <w:keepLines/>
      <w:widowControl/>
      <w:spacing w:before="200" w:line="276" w:lineRule="auto"/>
      <w:jc w:val="left"/>
      <w:outlineLvl w:val="7"/>
    </w:pPr>
    <w:rPr>
      <w:rFonts w:ascii="Cambria" w:hAnsi="Cambria"/>
      <w:color w:val="2DA2BF"/>
      <w:kern w:val="0"/>
      <w:sz w:val="20"/>
      <w:szCs w:val="20"/>
    </w:rPr>
  </w:style>
  <w:style w:type="paragraph" w:styleId="10">
    <w:name w:val="heading 9"/>
    <w:basedOn w:val="1"/>
    <w:next w:val="1"/>
    <w:link w:val="33"/>
    <w:qFormat/>
    <w:uiPriority w:val="9"/>
    <w:pPr>
      <w:keepNext/>
      <w:keepLines/>
      <w:widowControl/>
      <w:spacing w:before="200" w:line="276" w:lineRule="auto"/>
      <w:jc w:val="left"/>
      <w:outlineLvl w:val="8"/>
    </w:pPr>
    <w:rPr>
      <w:rFonts w:ascii="Cambria" w:hAnsi="Cambria"/>
      <w:i/>
      <w:iCs/>
      <w:color w:val="404040"/>
      <w:kern w:val="0"/>
      <w:sz w:val="20"/>
      <w:szCs w:val="20"/>
    </w:rPr>
  </w:style>
  <w:style w:type="character" w:default="1" w:styleId="21">
    <w:name w:val="Default Paragraph Font"/>
    <w:qFormat/>
    <w:uiPriority w:val="1"/>
  </w:style>
  <w:style w:type="table" w:default="1" w:styleId="19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35"/>
    <w:rPr>
      <w:b/>
      <w:bCs/>
      <w:color w:val="2DA2BF"/>
      <w:sz w:val="18"/>
      <w:szCs w:val="18"/>
    </w:rPr>
  </w:style>
  <w:style w:type="paragraph" w:styleId="12">
    <w:name w:val="Date"/>
    <w:basedOn w:val="1"/>
    <w:next w:val="1"/>
    <w:link w:val="34"/>
    <w:qFormat/>
    <w:uiPriority w:val="99"/>
    <w:pPr>
      <w:ind w:left="100" w:leftChars="2500"/>
    </w:pPr>
  </w:style>
  <w:style w:type="paragraph" w:styleId="13">
    <w:name w:val="Balloon Text"/>
    <w:basedOn w:val="1"/>
    <w:link w:val="35"/>
    <w:qFormat/>
    <w:uiPriority w:val="99"/>
    <w:rPr>
      <w:sz w:val="18"/>
      <w:szCs w:val="18"/>
    </w:rPr>
  </w:style>
  <w:style w:type="paragraph" w:styleId="14">
    <w:name w:val="footer"/>
    <w:basedOn w:val="1"/>
    <w:link w:val="36"/>
    <w:qFormat/>
    <w:uiPriority w:val="99"/>
    <w:pPr>
      <w:widowControl/>
      <w:tabs>
        <w:tab w:val="center" w:pos="4153"/>
        <w:tab w:val="right" w:pos="8306"/>
      </w:tabs>
      <w:snapToGrid w:val="0"/>
      <w:spacing w:after="200"/>
      <w:jc w:val="left"/>
    </w:pPr>
    <w:rPr>
      <w:kern w:val="0"/>
      <w:sz w:val="18"/>
      <w:szCs w:val="18"/>
    </w:rPr>
  </w:style>
  <w:style w:type="paragraph" w:styleId="15">
    <w:name w:val="header"/>
    <w:basedOn w:val="1"/>
    <w:link w:val="37"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kern w:val="0"/>
      <w:sz w:val="18"/>
      <w:szCs w:val="18"/>
    </w:rPr>
  </w:style>
  <w:style w:type="paragraph" w:styleId="16">
    <w:name w:val="Subtitle"/>
    <w:basedOn w:val="1"/>
    <w:next w:val="1"/>
    <w:link w:val="38"/>
    <w:qFormat/>
    <w:uiPriority w:val="11"/>
    <w:pPr>
      <w:widowControl/>
      <w:spacing w:after="200" w:line="276" w:lineRule="auto"/>
      <w:jc w:val="left"/>
    </w:pPr>
    <w:rPr>
      <w:rFonts w:ascii="Cambria" w:hAnsi="Cambria"/>
      <w:i/>
      <w:iCs/>
      <w:color w:val="2DA2BF"/>
      <w:spacing w:val="15"/>
      <w:kern w:val="0"/>
      <w:sz w:val="24"/>
      <w:szCs w:val="24"/>
    </w:rPr>
  </w:style>
  <w:style w:type="paragraph" w:styleId="1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  <w:szCs w:val="24"/>
    </w:rPr>
  </w:style>
  <w:style w:type="paragraph" w:styleId="18">
    <w:name w:val="Title"/>
    <w:basedOn w:val="1"/>
    <w:next w:val="1"/>
    <w:link w:val="39"/>
    <w:qFormat/>
    <w:uiPriority w:val="10"/>
    <w:pPr>
      <w:widowControl/>
      <w:pBdr>
        <w:bottom w:val="single" w:color="2DA2BF" w:sz="8" w:space="4"/>
      </w:pBdr>
      <w:spacing w:after="300"/>
      <w:contextualSpacing/>
      <w:jc w:val="left"/>
    </w:pPr>
    <w:rPr>
      <w:rFonts w:ascii="Cambria" w:hAnsi="Cambria"/>
      <w:color w:val="343434"/>
      <w:spacing w:val="5"/>
      <w:kern w:val="28"/>
      <w:sz w:val="52"/>
      <w:szCs w:val="52"/>
    </w:rPr>
  </w:style>
  <w:style w:type="table" w:styleId="20">
    <w:name w:val="Table Grid"/>
    <w:basedOn w:val="19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qFormat/>
    <w:uiPriority w:val="0"/>
    <w:rPr>
      <w:b/>
      <w:bCs/>
    </w:rPr>
  </w:style>
  <w:style w:type="character" w:styleId="23">
    <w:name w:val="Emphasis"/>
    <w:qFormat/>
    <w:uiPriority w:val="20"/>
    <w:rPr>
      <w:i/>
      <w:iCs/>
    </w:rPr>
  </w:style>
  <w:style w:type="character" w:styleId="24">
    <w:name w:val="Hyperlink"/>
    <w:qFormat/>
    <w:uiPriority w:val="0"/>
    <w:rPr>
      <w:color w:val="0000FF"/>
      <w:u w:val="single"/>
    </w:rPr>
  </w:style>
  <w:style w:type="character" w:customStyle="1" w:styleId="25">
    <w:name w:val="标题 1 Char"/>
    <w:link w:val="2"/>
    <w:qFormat/>
    <w:uiPriority w:val="9"/>
    <w:rPr>
      <w:rFonts w:ascii="Cambria" w:hAnsi="Cambria" w:eastAsia="宋体" w:cs="Times New Roman"/>
      <w:b/>
      <w:bCs/>
      <w:color w:val="21798E"/>
      <w:sz w:val="28"/>
      <w:szCs w:val="28"/>
    </w:rPr>
  </w:style>
  <w:style w:type="character" w:customStyle="1" w:styleId="26">
    <w:name w:val="标题 2 Char"/>
    <w:link w:val="3"/>
    <w:qFormat/>
    <w:uiPriority w:val="9"/>
    <w:rPr>
      <w:rFonts w:ascii="Cambria" w:hAnsi="Cambria" w:eastAsia="宋体" w:cs="Times New Roman"/>
      <w:b/>
      <w:bCs/>
      <w:color w:val="2DA2BF"/>
      <w:sz w:val="26"/>
      <w:szCs w:val="26"/>
    </w:rPr>
  </w:style>
  <w:style w:type="character" w:customStyle="1" w:styleId="27">
    <w:name w:val="标题 3 Char"/>
    <w:link w:val="4"/>
    <w:qFormat/>
    <w:uiPriority w:val="9"/>
    <w:rPr>
      <w:rFonts w:ascii="Cambria" w:hAnsi="Cambria" w:eastAsia="宋体" w:cs="Times New Roman"/>
      <w:b/>
      <w:bCs/>
      <w:color w:val="2DA2BF"/>
    </w:rPr>
  </w:style>
  <w:style w:type="character" w:customStyle="1" w:styleId="28">
    <w:name w:val="标题 4 Char"/>
    <w:link w:val="5"/>
    <w:qFormat/>
    <w:uiPriority w:val="9"/>
    <w:rPr>
      <w:rFonts w:ascii="Cambria" w:hAnsi="Cambria" w:eastAsia="宋体" w:cs="Times New Roman"/>
      <w:b/>
      <w:bCs/>
      <w:i/>
      <w:iCs/>
      <w:color w:val="2DA2BF"/>
    </w:rPr>
  </w:style>
  <w:style w:type="character" w:customStyle="1" w:styleId="29">
    <w:name w:val="标题 5 Char"/>
    <w:link w:val="6"/>
    <w:qFormat/>
    <w:uiPriority w:val="9"/>
    <w:rPr>
      <w:rFonts w:ascii="Cambria" w:hAnsi="Cambria" w:eastAsia="宋体" w:cs="Times New Roman"/>
      <w:color w:val="16505E"/>
    </w:rPr>
  </w:style>
  <w:style w:type="character" w:customStyle="1" w:styleId="30">
    <w:name w:val="标题 6 Char"/>
    <w:link w:val="7"/>
    <w:qFormat/>
    <w:uiPriority w:val="9"/>
    <w:rPr>
      <w:rFonts w:ascii="Cambria" w:hAnsi="Cambria" w:eastAsia="宋体" w:cs="Times New Roman"/>
      <w:i/>
      <w:iCs/>
      <w:color w:val="16505E"/>
    </w:rPr>
  </w:style>
  <w:style w:type="character" w:customStyle="1" w:styleId="31">
    <w:name w:val="标题 7 Char"/>
    <w:link w:val="8"/>
    <w:qFormat/>
    <w:uiPriority w:val="9"/>
    <w:rPr>
      <w:rFonts w:ascii="Cambria" w:hAnsi="Cambria" w:eastAsia="宋体" w:cs="Times New Roman"/>
      <w:i/>
      <w:iCs/>
      <w:color w:val="404040"/>
    </w:rPr>
  </w:style>
  <w:style w:type="character" w:customStyle="1" w:styleId="32">
    <w:name w:val="标题 8 Char"/>
    <w:link w:val="9"/>
    <w:qFormat/>
    <w:uiPriority w:val="9"/>
    <w:rPr>
      <w:rFonts w:ascii="Cambria" w:hAnsi="Cambria" w:eastAsia="宋体" w:cs="Times New Roman"/>
      <w:color w:val="2DA2BF"/>
      <w:sz w:val="20"/>
      <w:szCs w:val="20"/>
    </w:rPr>
  </w:style>
  <w:style w:type="character" w:customStyle="1" w:styleId="33">
    <w:name w:val="标题 9 Char"/>
    <w:link w:val="10"/>
    <w:qFormat/>
    <w:uiPriority w:val="9"/>
    <w:rPr>
      <w:rFonts w:ascii="Cambria" w:hAnsi="Cambria" w:eastAsia="宋体" w:cs="Times New Roman"/>
      <w:i/>
      <w:iCs/>
      <w:color w:val="404040"/>
      <w:sz w:val="20"/>
      <w:szCs w:val="20"/>
    </w:rPr>
  </w:style>
  <w:style w:type="character" w:customStyle="1" w:styleId="34">
    <w:name w:val="日期 Char"/>
    <w:link w:val="12"/>
    <w:qFormat/>
    <w:uiPriority w:val="99"/>
    <w:rPr>
      <w:kern w:val="2"/>
      <w:sz w:val="21"/>
      <w:szCs w:val="22"/>
    </w:rPr>
  </w:style>
  <w:style w:type="character" w:customStyle="1" w:styleId="35">
    <w:name w:val="批注框文本 Char"/>
    <w:link w:val="13"/>
    <w:qFormat/>
    <w:uiPriority w:val="99"/>
    <w:rPr>
      <w:kern w:val="2"/>
      <w:sz w:val="18"/>
      <w:szCs w:val="18"/>
    </w:rPr>
  </w:style>
  <w:style w:type="character" w:customStyle="1" w:styleId="36">
    <w:name w:val="页脚 Char"/>
    <w:link w:val="14"/>
    <w:qFormat/>
    <w:uiPriority w:val="99"/>
    <w:rPr>
      <w:sz w:val="18"/>
      <w:szCs w:val="18"/>
    </w:rPr>
  </w:style>
  <w:style w:type="character" w:customStyle="1" w:styleId="37">
    <w:name w:val="页眉 Char"/>
    <w:link w:val="15"/>
    <w:qFormat/>
    <w:uiPriority w:val="99"/>
    <w:rPr>
      <w:sz w:val="18"/>
      <w:szCs w:val="18"/>
    </w:rPr>
  </w:style>
  <w:style w:type="character" w:customStyle="1" w:styleId="38">
    <w:name w:val="副标题 Char"/>
    <w:link w:val="16"/>
    <w:qFormat/>
    <w:uiPriority w:val="11"/>
    <w:rPr>
      <w:rFonts w:ascii="Cambria" w:hAnsi="Cambria" w:eastAsia="宋体" w:cs="Times New Roman"/>
      <w:i/>
      <w:iCs/>
      <w:color w:val="2DA2BF"/>
      <w:spacing w:val="15"/>
      <w:sz w:val="24"/>
      <w:szCs w:val="24"/>
    </w:rPr>
  </w:style>
  <w:style w:type="character" w:customStyle="1" w:styleId="39">
    <w:name w:val="标题 Char"/>
    <w:link w:val="18"/>
    <w:qFormat/>
    <w:uiPriority w:val="10"/>
    <w:rPr>
      <w:rFonts w:ascii="Cambria" w:hAnsi="Cambria" w:eastAsia="宋体" w:cs="Times New Roman"/>
      <w:color w:val="343434"/>
      <w:spacing w:val="5"/>
      <w:kern w:val="28"/>
      <w:sz w:val="52"/>
      <w:szCs w:val="52"/>
    </w:rPr>
  </w:style>
  <w:style w:type="paragraph" w:styleId="40">
    <w:name w:val="No Spacing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41">
    <w:name w:val="List Paragraph"/>
    <w:basedOn w:val="1"/>
    <w:qFormat/>
    <w:uiPriority w:val="99"/>
    <w:pPr>
      <w:widowControl/>
      <w:spacing w:after="200" w:line="276" w:lineRule="auto"/>
      <w:ind w:left="720"/>
      <w:contextualSpacing/>
      <w:jc w:val="left"/>
    </w:pPr>
    <w:rPr>
      <w:kern w:val="0"/>
      <w:sz w:val="22"/>
    </w:rPr>
  </w:style>
  <w:style w:type="paragraph" w:styleId="42">
    <w:name w:val="Quote"/>
    <w:basedOn w:val="1"/>
    <w:next w:val="1"/>
    <w:link w:val="43"/>
    <w:qFormat/>
    <w:uiPriority w:val="29"/>
    <w:pPr>
      <w:widowControl/>
      <w:spacing w:after="200" w:line="276" w:lineRule="auto"/>
      <w:jc w:val="left"/>
    </w:pPr>
    <w:rPr>
      <w:i/>
      <w:iCs/>
      <w:color w:val="000000"/>
      <w:kern w:val="0"/>
      <w:sz w:val="20"/>
      <w:szCs w:val="20"/>
    </w:rPr>
  </w:style>
  <w:style w:type="character" w:customStyle="1" w:styleId="43">
    <w:name w:val="引用 Char"/>
    <w:link w:val="42"/>
    <w:qFormat/>
    <w:uiPriority w:val="29"/>
    <w:rPr>
      <w:i/>
      <w:iCs/>
      <w:color w:val="000000"/>
    </w:rPr>
  </w:style>
  <w:style w:type="paragraph" w:styleId="44">
    <w:name w:val="Intense Quote"/>
    <w:basedOn w:val="1"/>
    <w:next w:val="1"/>
    <w:link w:val="45"/>
    <w:qFormat/>
    <w:uiPriority w:val="30"/>
    <w:pPr>
      <w:widowControl/>
      <w:pBdr>
        <w:bottom w:val="single" w:color="2DA2BF" w:sz="4" w:space="4"/>
      </w:pBdr>
      <w:spacing w:before="200" w:after="280" w:line="276" w:lineRule="auto"/>
      <w:ind w:left="936" w:right="936"/>
      <w:jc w:val="left"/>
    </w:pPr>
    <w:rPr>
      <w:b/>
      <w:bCs/>
      <w:i/>
      <w:iCs/>
      <w:color w:val="2DA2BF"/>
      <w:kern w:val="0"/>
      <w:sz w:val="20"/>
      <w:szCs w:val="20"/>
    </w:rPr>
  </w:style>
  <w:style w:type="character" w:customStyle="1" w:styleId="45">
    <w:name w:val="明显引用 Char"/>
    <w:link w:val="44"/>
    <w:qFormat/>
    <w:uiPriority w:val="30"/>
    <w:rPr>
      <w:b/>
      <w:bCs/>
      <w:i/>
      <w:iCs/>
      <w:color w:val="2DA2BF"/>
    </w:rPr>
  </w:style>
  <w:style w:type="character" w:customStyle="1" w:styleId="46">
    <w:name w:val="_Style 45"/>
    <w:qFormat/>
    <w:uiPriority w:val="19"/>
    <w:rPr>
      <w:i/>
      <w:iCs/>
      <w:color w:val="808080"/>
    </w:rPr>
  </w:style>
  <w:style w:type="character" w:customStyle="1" w:styleId="47">
    <w:name w:val="_Style 46"/>
    <w:qFormat/>
    <w:uiPriority w:val="21"/>
    <w:rPr>
      <w:b/>
      <w:bCs/>
      <w:i/>
      <w:iCs/>
      <w:color w:val="2DA2BF"/>
    </w:rPr>
  </w:style>
  <w:style w:type="character" w:customStyle="1" w:styleId="48">
    <w:name w:val="_Style 47"/>
    <w:qFormat/>
    <w:uiPriority w:val="31"/>
    <w:rPr>
      <w:smallCaps/>
      <w:color w:val="DA1F28"/>
      <w:u w:val="single"/>
    </w:rPr>
  </w:style>
  <w:style w:type="character" w:customStyle="1" w:styleId="49">
    <w:name w:val="_Style 48"/>
    <w:qFormat/>
    <w:uiPriority w:val="32"/>
    <w:rPr>
      <w:b/>
      <w:bCs/>
      <w:smallCaps/>
      <w:color w:val="DA1F28"/>
      <w:spacing w:val="5"/>
      <w:u w:val="single"/>
    </w:rPr>
  </w:style>
  <w:style w:type="character" w:customStyle="1" w:styleId="50">
    <w:name w:val="_Style 49"/>
    <w:qFormat/>
    <w:uiPriority w:val="33"/>
    <w:rPr>
      <w:b/>
      <w:bCs/>
      <w:smallCaps/>
      <w:spacing w:val="5"/>
    </w:rPr>
  </w:style>
  <w:style w:type="paragraph" w:customStyle="1" w:styleId="51">
    <w:name w:val="_Style 50"/>
    <w:basedOn w:val="2"/>
    <w:next w:val="1"/>
    <w:qFormat/>
    <w:uiPriority w:val="39"/>
    <w:pPr>
      <w:outlineLvl w:val="9"/>
    </w:pPr>
  </w:style>
  <w:style w:type="paragraph" w:customStyle="1" w:styleId="5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53">
    <w:name w:val="p51"/>
    <w:qFormat/>
    <w:uiPriority w:val="0"/>
    <w:rPr>
      <w:rFonts w:hint="eastAsia" w:ascii="ΟGB2312" w:eastAsia="ΟGB2312"/>
      <w:sz w:val="2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1585</Words>
  <Characters>1607</Characters>
  <Paragraphs>52</Paragraphs>
  <TotalTime>2</TotalTime>
  <ScaleCrop>false</ScaleCrop>
  <LinksUpToDate>false</LinksUpToDate>
  <CharactersWithSpaces>1646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2023-11-01T16:00:00Z</dcterms:created>
  <dc:creator>张鹏（男）</dc:creator>
  <cp:lastModifiedBy>uos</cp:lastModifiedBy>
  <cp:lastPrinted>2022-02-23T11:28:00Z</cp:lastPrinted>
  <dcterms:modified xsi:type="dcterms:W3CDTF">2026-02-09T14:13:53Z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903F46D07C409C4C99074265ACA5F6BB</vt:lpwstr>
  </property>
  <property fmtid="{D5CDD505-2E9C-101B-9397-08002B2CF9AE}" pid="4" name="KSOTemplateDocerSaveRecord">
    <vt:lpwstr>eyJoZGlkIjoiODdkODRjYmU4OWVhMjc0NDNhNTllNmQ1MDFiNjIwYTIiLCJ1c2VySWQiOiIzMDg5MzgzNjgifQ==</vt:lpwstr>
  </property>
</Properties>
</file>