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EA2CA">
      <w:pPr>
        <w:jc w:val="center"/>
        <w:rPr>
          <w:rFonts w:ascii="仿宋_GB2312" w:eastAsia="仿宋_GB2312"/>
          <w:b/>
          <w:sz w:val="32"/>
          <w:szCs w:val="32"/>
        </w:rPr>
      </w:pPr>
    </w:p>
    <w:p w14:paraId="1B917A1F">
      <w:pPr>
        <w:jc w:val="center"/>
        <w:rPr>
          <w:rFonts w:ascii="黑体" w:eastAsia="黑体"/>
          <w:sz w:val="72"/>
          <w:szCs w:val="72"/>
        </w:rPr>
      </w:pPr>
    </w:p>
    <w:p w14:paraId="0270BDD3">
      <w:pPr>
        <w:jc w:val="both"/>
        <w:rPr>
          <w:rFonts w:ascii="黑体" w:eastAsia="黑体"/>
          <w:sz w:val="72"/>
          <w:szCs w:val="72"/>
        </w:rPr>
      </w:pPr>
    </w:p>
    <w:p w14:paraId="7522D47F">
      <w:pPr>
        <w:jc w:val="center"/>
        <w:rPr>
          <w:rFonts w:ascii="黑体" w:eastAsia="黑体"/>
          <w:sz w:val="72"/>
          <w:szCs w:val="72"/>
        </w:rPr>
      </w:pPr>
    </w:p>
    <w:p w14:paraId="6D66E8E3">
      <w:pPr>
        <w:jc w:val="center"/>
        <w:rPr>
          <w:rFonts w:hint="eastAsia" w:ascii="黑体" w:eastAsia="黑体"/>
          <w:color w:val="000000" w:themeColor="text1"/>
          <w:sz w:val="72"/>
          <w:szCs w:val="72"/>
          <w:highlight w:val="none"/>
          <w:lang w:val="en-US" w:eastAsia="zh-CN"/>
          <w14:textFill>
            <w14:solidFill>
              <w14:schemeClr w14:val="tx1"/>
            </w14:solidFill>
          </w14:textFill>
        </w:rPr>
      </w:pPr>
      <w:r>
        <w:rPr>
          <w:rFonts w:hint="eastAsia" w:ascii="黑体" w:eastAsia="黑体"/>
          <w:color w:val="000000" w:themeColor="text1"/>
          <w:sz w:val="72"/>
          <w:szCs w:val="72"/>
          <w:highlight w:val="none"/>
          <w:lang w:val="en-US" w:eastAsia="zh-CN"/>
          <w14:textFill>
            <w14:solidFill>
              <w14:schemeClr w14:val="tx1"/>
            </w14:solidFill>
          </w14:textFill>
        </w:rPr>
        <w:t>北京市总工会职工服务中心</w:t>
      </w:r>
    </w:p>
    <w:p w14:paraId="7CA4224E">
      <w:pPr>
        <w:jc w:val="center"/>
        <w:rPr>
          <w:rFonts w:ascii="黑体" w:eastAsia="黑体"/>
          <w:sz w:val="72"/>
          <w:szCs w:val="72"/>
          <w:highlight w:val="red"/>
        </w:rPr>
      </w:pPr>
      <w:r>
        <w:rPr>
          <w:rFonts w:hint="eastAsia" w:ascii="黑体" w:eastAsia="黑体"/>
          <w:color w:val="000000" w:themeColor="text1"/>
          <w:sz w:val="72"/>
          <w:szCs w:val="72"/>
          <w:highlight w:val="none"/>
          <w14:textFill>
            <w14:solidFill>
              <w14:schemeClr w14:val="tx1"/>
            </w14:solidFill>
          </w14:textFill>
        </w:rPr>
        <w:t>202</w:t>
      </w:r>
      <w:r>
        <w:rPr>
          <w:rFonts w:hint="eastAsia" w:ascii="黑体" w:eastAsia="黑体"/>
          <w:color w:val="000000" w:themeColor="text1"/>
          <w:sz w:val="72"/>
          <w:szCs w:val="72"/>
          <w:highlight w:val="none"/>
          <w:lang w:val="en-US" w:eastAsia="zh-CN"/>
          <w14:textFill>
            <w14:solidFill>
              <w14:schemeClr w14:val="tx1"/>
            </w14:solidFill>
          </w14:textFill>
        </w:rPr>
        <w:t>4</w:t>
      </w:r>
      <w:r>
        <w:rPr>
          <w:rFonts w:hint="eastAsia" w:ascii="黑体" w:eastAsia="黑体"/>
          <w:color w:val="000000" w:themeColor="text1"/>
          <w:sz w:val="72"/>
          <w:szCs w:val="72"/>
          <w:highlight w:val="none"/>
          <w14:textFill>
            <w14:solidFill>
              <w14:schemeClr w14:val="tx1"/>
            </w14:solidFill>
          </w14:textFill>
        </w:rPr>
        <w:t>年度决算（</w:t>
      </w:r>
      <w:r>
        <w:rPr>
          <w:rFonts w:hint="eastAsia" w:ascii="黑体" w:eastAsia="黑体"/>
          <w:color w:val="000000" w:themeColor="text1"/>
          <w:sz w:val="72"/>
          <w:szCs w:val="72"/>
          <w:highlight w:val="none"/>
          <w:lang w:val="en-US" w:eastAsia="zh-CN"/>
          <w14:textFill>
            <w14:solidFill>
              <w14:schemeClr w14:val="tx1"/>
            </w14:solidFill>
          </w14:textFill>
        </w:rPr>
        <w:t>公开</w:t>
      </w:r>
      <w:r>
        <w:rPr>
          <w:rFonts w:ascii="黑体" w:eastAsia="黑体"/>
          <w:color w:val="000000" w:themeColor="text1"/>
          <w:sz w:val="72"/>
          <w:szCs w:val="72"/>
          <w:highlight w:val="none"/>
          <w14:textFill>
            <w14:solidFill>
              <w14:schemeClr w14:val="tx1"/>
            </w14:solidFill>
          </w14:textFill>
        </w:rPr>
        <w:t>）</w:t>
      </w:r>
    </w:p>
    <w:p w14:paraId="14C9C96B">
      <w:pPr>
        <w:jc w:val="center"/>
        <w:rPr>
          <w:rFonts w:ascii="黑体" w:eastAsia="黑体"/>
          <w:sz w:val="52"/>
          <w:szCs w:val="52"/>
        </w:rPr>
      </w:pPr>
    </w:p>
    <w:p w14:paraId="333124FA">
      <w:pPr>
        <w:jc w:val="center"/>
        <w:rPr>
          <w:rFonts w:ascii="黑体" w:eastAsia="黑体"/>
          <w:sz w:val="52"/>
          <w:szCs w:val="52"/>
        </w:rPr>
      </w:pPr>
    </w:p>
    <w:p w14:paraId="567A3003">
      <w:pPr>
        <w:jc w:val="center"/>
        <w:rPr>
          <w:rFonts w:ascii="黑体" w:eastAsia="黑体"/>
          <w:sz w:val="52"/>
          <w:szCs w:val="52"/>
        </w:rPr>
      </w:pPr>
    </w:p>
    <w:p w14:paraId="14DCA36D">
      <w:pPr>
        <w:jc w:val="center"/>
        <w:rPr>
          <w:rFonts w:ascii="黑体" w:eastAsia="黑体"/>
          <w:sz w:val="52"/>
          <w:szCs w:val="52"/>
        </w:rPr>
      </w:pPr>
    </w:p>
    <w:p w14:paraId="2847D445">
      <w:pPr>
        <w:jc w:val="center"/>
        <w:rPr>
          <w:rFonts w:ascii="黑体" w:eastAsia="黑体"/>
          <w:sz w:val="32"/>
          <w:szCs w:val="32"/>
        </w:rPr>
      </w:pPr>
    </w:p>
    <w:p w14:paraId="0FC4A393">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5BC82CB">
      <w:pPr>
        <w:spacing w:line="500" w:lineRule="exact"/>
        <w:ind w:firstLine="645"/>
        <w:jc w:val="center"/>
        <w:rPr>
          <w:rFonts w:hint="eastAsia" w:ascii="宋体" w:hAnsi="宋体" w:cs="宋体"/>
          <w:b/>
          <w:bCs/>
          <w:kern w:val="0"/>
          <w:sz w:val="36"/>
          <w:szCs w:val="36"/>
        </w:rPr>
      </w:pPr>
    </w:p>
    <w:p w14:paraId="137ECE2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3A6FA2C">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015F21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8AA90B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B21AB5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1C5C88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43542D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F579BE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9A458D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814739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A95F92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36382B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34A924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499F19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FFBC665">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DF838A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23A6A1B">
      <w:pPr>
        <w:tabs>
          <w:tab w:val="center" w:pos="6979"/>
        </w:tabs>
        <w:spacing w:before="156" w:beforeLines="50" w:after="156" w:afterLines="50"/>
        <w:jc w:val="center"/>
        <w:rPr>
          <w:rFonts w:ascii="宋体" w:hAnsi="宋体" w:cs="宋体"/>
          <w:b/>
          <w:bCs/>
          <w:spacing w:val="40"/>
          <w:kern w:val="0"/>
          <w:sz w:val="32"/>
          <w:szCs w:val="32"/>
        </w:rPr>
      </w:pPr>
    </w:p>
    <w:p w14:paraId="19313546">
      <w:pPr>
        <w:tabs>
          <w:tab w:val="center" w:pos="6979"/>
        </w:tabs>
        <w:spacing w:before="156" w:beforeLines="50" w:after="156" w:afterLines="50"/>
        <w:jc w:val="center"/>
        <w:rPr>
          <w:rFonts w:ascii="宋体" w:hAnsi="宋体" w:cs="宋体"/>
          <w:b/>
          <w:bCs/>
          <w:spacing w:val="40"/>
          <w:kern w:val="0"/>
          <w:sz w:val="32"/>
          <w:szCs w:val="32"/>
        </w:rPr>
      </w:pPr>
    </w:p>
    <w:p w14:paraId="3E3BE6D5">
      <w:pPr>
        <w:tabs>
          <w:tab w:val="center" w:pos="6979"/>
        </w:tabs>
        <w:spacing w:before="156" w:beforeLines="50" w:after="156" w:afterLines="50"/>
        <w:jc w:val="center"/>
        <w:rPr>
          <w:rFonts w:ascii="宋体" w:hAnsi="宋体" w:cs="宋体"/>
          <w:b/>
          <w:bCs/>
          <w:spacing w:val="40"/>
          <w:kern w:val="0"/>
          <w:sz w:val="32"/>
          <w:szCs w:val="32"/>
        </w:rPr>
      </w:pPr>
    </w:p>
    <w:p w14:paraId="59930784">
      <w:pPr>
        <w:tabs>
          <w:tab w:val="center" w:pos="6979"/>
        </w:tabs>
        <w:spacing w:before="156" w:beforeLines="50" w:after="156" w:afterLines="50"/>
        <w:jc w:val="center"/>
        <w:rPr>
          <w:rFonts w:ascii="宋体" w:hAnsi="宋体" w:cs="宋体"/>
          <w:b/>
          <w:bCs/>
          <w:spacing w:val="40"/>
          <w:kern w:val="0"/>
          <w:sz w:val="32"/>
          <w:szCs w:val="32"/>
        </w:rPr>
      </w:pPr>
    </w:p>
    <w:p w14:paraId="0278B1E9">
      <w:pPr>
        <w:tabs>
          <w:tab w:val="center" w:pos="6979"/>
        </w:tabs>
        <w:spacing w:before="156" w:beforeLines="50" w:after="156" w:afterLines="50"/>
        <w:jc w:val="center"/>
        <w:rPr>
          <w:rFonts w:ascii="宋体" w:hAnsi="宋体" w:cs="宋体"/>
          <w:b/>
          <w:bCs/>
          <w:spacing w:val="40"/>
          <w:kern w:val="0"/>
          <w:sz w:val="32"/>
          <w:szCs w:val="32"/>
        </w:rPr>
      </w:pPr>
    </w:p>
    <w:p w14:paraId="48401A9B">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A6B02E">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B8076E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F137DE0">
      <w:pPr>
        <w:tabs>
          <w:tab w:val="center" w:pos="6979"/>
        </w:tabs>
        <w:spacing w:line="580" w:lineRule="exact"/>
        <w:ind w:firstLine="548" w:firstLineChars="196"/>
        <w:rPr>
          <w:rFonts w:hint="eastAsia" w:ascii="仿宋_GB2312" w:eastAsia="仿宋_GB2312"/>
          <w:sz w:val="28"/>
          <w:szCs w:val="28"/>
          <w:highlight w:val="red"/>
        </w:rPr>
      </w:pPr>
      <w:r>
        <w:rPr>
          <w:rFonts w:hint="eastAsia" w:ascii="黑体" w:eastAsia="黑体"/>
          <w:b/>
          <w:sz w:val="28"/>
          <w:szCs w:val="28"/>
        </w:rPr>
        <w:t>一、单位基本情况</w:t>
      </w:r>
    </w:p>
    <w:p w14:paraId="2B959F83">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lang w:val="en-US" w:eastAsia="zh-CN"/>
        </w:rPr>
        <w:t>我单位北京市总工会职工服务中心为市总工会所属公益一类事业单位。</w:t>
      </w:r>
      <w:r>
        <w:rPr>
          <w:rFonts w:hint="eastAsia" w:ascii="仿宋_GB2312" w:eastAsia="仿宋_GB2312"/>
          <w:sz w:val="28"/>
          <w:szCs w:val="28"/>
        </w:rPr>
        <w:t>根据北京市人力资源和社会保障局批复，内设机构数量共17个，分别是办公室、党群工作部、人力资源部、财务审计部（招标采购管理办公室）、网络信息部、后勤保障部、安全保卫部、技术服务部、助推发展部、首都职工心理发展中心、首都职工志愿服务运行中心、对外交流中心、技能培训部、会展服务部、社会组织服务部、工会经费税务代收办公室、职工热线服务部。</w:t>
      </w:r>
      <w:r>
        <w:rPr>
          <w:rFonts w:hint="eastAsia" w:ascii="仿宋_GB2312" w:eastAsia="仿宋_GB2312"/>
          <w:sz w:val="28"/>
          <w:szCs w:val="28"/>
          <w:lang w:val="en-US" w:eastAsia="zh-CN"/>
        </w:rPr>
        <w:t>主要职责是承担本市职工心理健康疏导、心理咨询等服务工作，开展职工国内外技术交流合作，承担工会经费税务代收相关事务性工作。</w:t>
      </w:r>
    </w:p>
    <w:p w14:paraId="276C8E6D">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1B859D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976.35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90.57</w:t>
      </w:r>
      <w:r>
        <w:rPr>
          <w:rFonts w:hint="eastAsia" w:ascii="仿宋_GB2312" w:eastAsia="仿宋_GB2312"/>
          <w:sz w:val="28"/>
          <w:szCs w:val="28"/>
        </w:rPr>
        <w:t>万元，下降</w:t>
      </w:r>
      <w:r>
        <w:rPr>
          <w:rFonts w:hint="eastAsia" w:ascii="仿宋_GB2312" w:eastAsia="仿宋_GB2312"/>
          <w:sz w:val="28"/>
          <w:szCs w:val="28"/>
          <w:lang w:val="en-US" w:eastAsia="zh-CN"/>
        </w:rPr>
        <w:t>4.38</w:t>
      </w:r>
      <w:r>
        <w:rPr>
          <w:rFonts w:hint="eastAsia" w:ascii="仿宋_GB2312" w:eastAsia="仿宋_GB2312"/>
          <w:sz w:val="28"/>
          <w:szCs w:val="28"/>
        </w:rPr>
        <w:t>%。</w:t>
      </w:r>
    </w:p>
    <w:p w14:paraId="3927C175">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267F2B7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976.35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90.57</w:t>
      </w:r>
      <w:r>
        <w:rPr>
          <w:rFonts w:hint="eastAsia" w:ascii="仿宋_GB2312" w:eastAsia="仿宋_GB2312"/>
          <w:sz w:val="28"/>
          <w:szCs w:val="28"/>
        </w:rPr>
        <w:t>万元，下降</w:t>
      </w:r>
      <w:r>
        <w:rPr>
          <w:rFonts w:hint="eastAsia" w:ascii="仿宋_GB2312" w:eastAsia="仿宋_GB2312"/>
          <w:sz w:val="28"/>
          <w:szCs w:val="28"/>
          <w:lang w:val="en-US" w:eastAsia="zh-CN"/>
        </w:rPr>
        <w:t>4.38</w:t>
      </w:r>
      <w:r>
        <w:rPr>
          <w:rFonts w:hint="eastAsia" w:ascii="仿宋_GB2312" w:eastAsia="仿宋_GB2312"/>
          <w:sz w:val="28"/>
          <w:szCs w:val="28"/>
        </w:rPr>
        <w:t>%</w:t>
      </w:r>
      <w:r>
        <w:rPr>
          <w:rFonts w:hint="eastAsia" w:ascii="仿宋_GB2312" w:eastAsia="仿宋_GB2312"/>
          <w:sz w:val="28"/>
          <w:szCs w:val="28"/>
          <w:lang w:eastAsia="zh-CN"/>
        </w:rPr>
        <w:t>。</w:t>
      </w:r>
    </w:p>
    <w:p w14:paraId="0EB6C60B">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976.35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976.35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47B63C0">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61B233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68A6DF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C38507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0E8E18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840339D">
      <w:pPr>
        <w:pStyle w:val="3"/>
        <w:ind w:firstLine="0"/>
        <w:jc w:val="center"/>
      </w:pPr>
      <w:r>
        <w:rPr>
          <w:rFonts w:hint="eastAsia" w:ascii="仿宋_GB2312" w:eastAsia="仿宋_GB2312"/>
          <w:color w:val="000000"/>
          <w:sz w:val="32"/>
          <w:szCs w:val="32"/>
          <w:highlight w:val="none"/>
          <w:lang w:val="en-US" w:eastAsia="zh-CN"/>
        </w:rPr>
        <w:t>图1：</w:t>
      </w:r>
    </w:p>
    <w:p w14:paraId="7F221687">
      <w:pPr>
        <w:pStyle w:val="2"/>
        <w:ind w:firstLine="420"/>
        <w:jc w:val="center"/>
        <w:rPr>
          <w:rFonts w:hint="eastAsia" w:eastAsia="宋体"/>
          <w:lang w:eastAsia="zh-CN"/>
        </w:rPr>
      </w:pPr>
      <w:r>
        <w:rPr>
          <w:rFonts w:hint="eastAsia" w:eastAsia="宋体"/>
          <w:lang w:eastAsia="zh-CN"/>
        </w:rPr>
        <w:drawing>
          <wp:inline distT="0" distB="0" distL="114300" distR="114300">
            <wp:extent cx="4048125" cy="2339975"/>
            <wp:effectExtent l="0" t="0" r="9525" b="3175"/>
            <wp:docPr id="2" name="图片 2" descr="D:\日常文件\15、决算\上报决算\2024决算\收入决算1.jpg收入决算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日常文件\15、决算\上报决算\2024决算\收入决算1.jpg收入决算1"/>
                    <pic:cNvPicPr>
                      <a:picLocks noChangeAspect="1"/>
                    </pic:cNvPicPr>
                  </pic:nvPicPr>
                  <pic:blipFill>
                    <a:blip r:embed="rId7"/>
                    <a:srcRect/>
                    <a:stretch>
                      <a:fillRect/>
                    </a:stretch>
                  </pic:blipFill>
                  <pic:spPr>
                    <a:xfrm>
                      <a:off x="0" y="0"/>
                      <a:ext cx="4048125" cy="2339975"/>
                    </a:xfrm>
                    <a:prstGeom prst="rect">
                      <a:avLst/>
                    </a:prstGeom>
                  </pic:spPr>
                </pic:pic>
              </a:graphicData>
            </a:graphic>
          </wp:inline>
        </w:drawing>
      </w:r>
    </w:p>
    <w:p w14:paraId="60AF5F2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F4A773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976.35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82.89</w:t>
      </w:r>
      <w:r>
        <w:rPr>
          <w:rFonts w:hint="eastAsia" w:ascii="仿宋_GB2312" w:eastAsia="仿宋_GB2312"/>
          <w:sz w:val="28"/>
          <w:szCs w:val="28"/>
        </w:rPr>
        <w:t>万元，下降</w:t>
      </w:r>
      <w:r>
        <w:rPr>
          <w:rFonts w:hint="eastAsia" w:ascii="仿宋_GB2312" w:eastAsia="仿宋_GB2312"/>
          <w:sz w:val="28"/>
          <w:szCs w:val="28"/>
          <w:lang w:val="en-US" w:eastAsia="zh-CN"/>
        </w:rPr>
        <w:t>4.03</w:t>
      </w:r>
      <w:r>
        <w:rPr>
          <w:rFonts w:hint="eastAsia" w:ascii="仿宋_GB2312" w:eastAsia="仿宋_GB2312"/>
          <w:sz w:val="28"/>
          <w:szCs w:val="28"/>
        </w:rPr>
        <w:t>%，其中：基本支出</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976.35</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D19AD93">
      <w:pPr>
        <w:pStyle w:val="3"/>
        <w:ind w:firstLine="642"/>
        <w:jc w:val="center"/>
        <w:rPr>
          <w:rFonts w:ascii="仿宋_GB2312" w:eastAsia="仿宋_GB2312"/>
          <w:color w:val="000000"/>
          <w:sz w:val="32"/>
        </w:rPr>
      </w:pPr>
      <w:r>
        <w:rPr>
          <w:rFonts w:hint="eastAsia" w:ascii="仿宋_GB2312" w:eastAsia="仿宋_GB2312"/>
          <w:color w:val="000000"/>
          <w:sz w:val="32"/>
        </w:rPr>
        <w:t>图2：</w:t>
      </w:r>
    </w:p>
    <w:p w14:paraId="5572DDF1">
      <w:pPr>
        <w:jc w:val="center"/>
        <w:rPr>
          <w:rFonts w:hint="eastAsia" w:ascii="黑体" w:eastAsia="黑体"/>
          <w:b/>
          <w:sz w:val="28"/>
          <w:szCs w:val="28"/>
          <w:lang w:eastAsia="zh-CN"/>
        </w:rPr>
      </w:pPr>
      <w:r>
        <w:rPr>
          <w:rFonts w:hint="eastAsia" w:ascii="黑体" w:eastAsia="黑体"/>
          <w:b/>
          <w:sz w:val="28"/>
          <w:szCs w:val="28"/>
          <w:lang w:eastAsia="zh-CN"/>
        </w:rPr>
        <w:drawing>
          <wp:inline distT="0" distB="0" distL="114300" distR="114300">
            <wp:extent cx="4150995" cy="2493010"/>
            <wp:effectExtent l="0" t="0" r="1905" b="2540"/>
            <wp:docPr id="1" name="图片 1" descr="支出决算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支出决算1"/>
                    <pic:cNvPicPr>
                      <a:picLocks noChangeAspect="1"/>
                    </pic:cNvPicPr>
                  </pic:nvPicPr>
                  <pic:blipFill>
                    <a:blip r:embed="rId8"/>
                    <a:stretch>
                      <a:fillRect/>
                    </a:stretch>
                  </pic:blipFill>
                  <pic:spPr>
                    <a:xfrm>
                      <a:off x="0" y="0"/>
                      <a:ext cx="4150995" cy="2493010"/>
                    </a:xfrm>
                    <a:prstGeom prst="rect">
                      <a:avLst/>
                    </a:prstGeom>
                  </pic:spPr>
                </pic:pic>
              </a:graphicData>
            </a:graphic>
          </wp:inline>
        </w:drawing>
      </w:r>
    </w:p>
    <w:p w14:paraId="257786D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D9B478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976.35</w:t>
      </w:r>
      <w:r>
        <w:rPr>
          <w:rFonts w:hint="eastAsia" w:ascii="仿宋_GB2312" w:eastAsia="仿宋_GB2312"/>
          <w:sz w:val="28"/>
          <w:szCs w:val="28"/>
        </w:rPr>
        <w:t>万元，比上年减少</w:t>
      </w:r>
      <w:r>
        <w:rPr>
          <w:rFonts w:hint="eastAsia" w:ascii="仿宋_GB2312" w:eastAsia="仿宋_GB2312"/>
          <w:sz w:val="28"/>
          <w:szCs w:val="28"/>
          <w:lang w:val="en-US" w:eastAsia="zh-CN"/>
        </w:rPr>
        <w:t>90.57</w:t>
      </w:r>
      <w:r>
        <w:rPr>
          <w:rFonts w:hint="eastAsia" w:ascii="仿宋_GB2312" w:eastAsia="仿宋_GB2312"/>
          <w:sz w:val="28"/>
          <w:szCs w:val="28"/>
        </w:rPr>
        <w:t>万元，下降</w:t>
      </w:r>
      <w:r>
        <w:rPr>
          <w:rFonts w:hint="eastAsia" w:ascii="仿宋_GB2312" w:eastAsia="仿宋_GB2312"/>
          <w:sz w:val="28"/>
          <w:szCs w:val="28"/>
          <w:lang w:val="en-US" w:eastAsia="zh-CN"/>
        </w:rPr>
        <w:t>4.38</w:t>
      </w:r>
      <w:r>
        <w:rPr>
          <w:rFonts w:hint="eastAsia" w:ascii="仿宋_GB2312" w:eastAsia="仿宋_GB2312"/>
          <w:sz w:val="28"/>
          <w:szCs w:val="28"/>
        </w:rPr>
        <w:t>%。主要原因：</w:t>
      </w:r>
      <w:r>
        <w:rPr>
          <w:rFonts w:hint="eastAsia" w:ascii="仿宋_GB2312" w:eastAsia="仿宋_GB2312"/>
          <w:sz w:val="28"/>
          <w:szCs w:val="28"/>
          <w:lang w:val="en-US" w:eastAsia="zh-CN"/>
        </w:rPr>
        <w:t>因退休和调出等原因导致在编人员人数减少</w:t>
      </w:r>
      <w:r>
        <w:rPr>
          <w:rFonts w:hint="eastAsia" w:ascii="仿宋_GB2312" w:eastAsia="仿宋_GB2312"/>
          <w:sz w:val="28"/>
          <w:szCs w:val="28"/>
        </w:rPr>
        <w:t>。</w:t>
      </w:r>
    </w:p>
    <w:p w14:paraId="6D6262F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3EAF034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1A974C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976.35</w:t>
      </w:r>
      <w:r>
        <w:rPr>
          <w:rFonts w:hint="eastAsia" w:ascii="仿宋_GB2312" w:eastAsia="仿宋_GB2312"/>
          <w:sz w:val="28"/>
          <w:szCs w:val="28"/>
        </w:rPr>
        <w:t>万元，主要用于以下方面：一般公共服务支出</w:t>
      </w:r>
      <w:r>
        <w:rPr>
          <w:rFonts w:hint="eastAsia" w:ascii="仿宋_GB2312" w:eastAsia="仿宋_GB2312"/>
          <w:sz w:val="28"/>
          <w:szCs w:val="28"/>
          <w:lang w:val="en-US" w:eastAsia="zh-CN"/>
        </w:rPr>
        <w:t>1,835.89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92.89</w:t>
      </w:r>
      <w:r>
        <w:rPr>
          <w:rFonts w:hint="eastAsia" w:ascii="仿宋_GB2312" w:eastAsia="仿宋_GB2312"/>
          <w:sz w:val="28"/>
          <w:szCs w:val="28"/>
        </w:rPr>
        <w:t>%；</w:t>
      </w:r>
      <w:r>
        <w:rPr>
          <w:rFonts w:hint="eastAsia" w:ascii="仿宋_GB2312" w:eastAsia="仿宋_GB2312"/>
          <w:sz w:val="28"/>
          <w:szCs w:val="28"/>
          <w:lang w:val="en-US" w:eastAsia="zh-CN"/>
        </w:rPr>
        <w:t>社会保障和就业支出140.46万元，占本年财政拨款支出7.11%</w:t>
      </w:r>
      <w:r>
        <w:rPr>
          <w:rFonts w:hint="eastAsia" w:ascii="仿宋_GB2312" w:eastAsia="仿宋_GB2312"/>
          <w:sz w:val="28"/>
          <w:szCs w:val="28"/>
        </w:rPr>
        <w:t>。</w:t>
      </w:r>
    </w:p>
    <w:p w14:paraId="015AC09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3562C7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1,835.89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1,835.89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00DEF45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76772B6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群众团体事务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1,835.89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1,835.89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0617845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123.78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140.46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113.47</w:t>
      </w:r>
      <w:r>
        <w:rPr>
          <w:rFonts w:hint="eastAsia" w:ascii="仿宋_GB2312" w:eastAsia="仿宋_GB2312"/>
          <w:sz w:val="28"/>
          <w:szCs w:val="28"/>
        </w:rPr>
        <w:t>%。其中：</w:t>
      </w:r>
    </w:p>
    <w:p w14:paraId="706B48DC">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123.78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123.78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抚恤</w:t>
      </w:r>
      <w:r>
        <w:rPr>
          <w:rFonts w:hint="eastAsia" w:ascii="仿宋_GB2312" w:eastAsia="仿宋_GB2312"/>
          <w:sz w:val="28"/>
          <w:szCs w:val="28"/>
          <w:lang w:eastAsia="zh-CN"/>
        </w:rPr>
        <w:t>”（</w:t>
      </w:r>
      <w:r>
        <w:rPr>
          <w:rFonts w:hint="eastAsia" w:ascii="仿宋_GB2312" w:eastAsia="仿宋_GB2312"/>
          <w:sz w:val="28"/>
          <w:szCs w:val="28"/>
          <w:lang w:val="en-US" w:eastAsia="zh-CN"/>
        </w:rPr>
        <w:t>款</w:t>
      </w:r>
      <w:r>
        <w:rPr>
          <w:rFonts w:hint="eastAsia" w:ascii="仿宋_GB2312" w:eastAsia="仿宋_GB2312"/>
          <w:sz w:val="28"/>
          <w:szCs w:val="28"/>
          <w:lang w:eastAsia="zh-CN"/>
        </w:rPr>
        <w:t>）</w:t>
      </w:r>
      <w:r>
        <w:rPr>
          <w:rFonts w:hint="eastAsia" w:ascii="仿宋_GB2312" w:eastAsia="仿宋_GB2312"/>
          <w:sz w:val="28"/>
          <w:szCs w:val="28"/>
          <w:lang w:val="en-US" w:eastAsia="zh-CN"/>
        </w:rPr>
        <w:t>2024年度年初预算0万元，2024年度决算16.67万元，</w:t>
      </w:r>
      <w:r>
        <w:rPr>
          <w:rFonts w:hint="eastAsia" w:ascii="仿宋_GB2312" w:eastAsia="仿宋_GB2312"/>
          <w:sz w:val="28"/>
          <w:szCs w:val="28"/>
        </w:rPr>
        <w:t>主要原因：</w:t>
      </w:r>
      <w:r>
        <w:rPr>
          <w:rFonts w:hint="eastAsia" w:ascii="仿宋_GB2312" w:eastAsia="仿宋_GB2312"/>
          <w:sz w:val="28"/>
          <w:szCs w:val="28"/>
          <w:lang w:val="en-US" w:eastAsia="zh-CN"/>
        </w:rPr>
        <w:t>支付去世1名退休干部的抚恤金、丧葬费</w:t>
      </w:r>
      <w:r>
        <w:rPr>
          <w:rFonts w:hint="eastAsia" w:ascii="仿宋_GB2312" w:eastAsia="仿宋_GB2312"/>
          <w:sz w:val="28"/>
          <w:szCs w:val="28"/>
        </w:rPr>
        <w:t>。</w:t>
      </w:r>
    </w:p>
    <w:p w14:paraId="10FE70E6">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8EA116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年无政府性基金预算财政拨款支出。</w:t>
      </w:r>
    </w:p>
    <w:p w14:paraId="573DD76C">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91CBB4C">
      <w:pPr>
        <w:ind w:firstLine="537" w:firstLineChars="192"/>
        <w:rPr>
          <w:rFonts w:ascii="仿宋_GB2312" w:eastAsia="仿宋_GB2312"/>
          <w:sz w:val="28"/>
          <w:szCs w:val="28"/>
        </w:rPr>
      </w:pPr>
      <w:r>
        <w:rPr>
          <w:rFonts w:hint="eastAsia" w:ascii="仿宋_GB2312" w:eastAsia="仿宋_GB2312"/>
          <w:sz w:val="28"/>
          <w:szCs w:val="28"/>
          <w:lang w:val="en-US" w:eastAsia="zh-CN"/>
        </w:rPr>
        <w:t>本单位2024年无国有资本经营预算财政拨款收支</w:t>
      </w:r>
      <w:r>
        <w:rPr>
          <w:rFonts w:hint="eastAsia" w:ascii="仿宋_GB2312" w:eastAsia="仿宋_GB2312"/>
          <w:sz w:val="28"/>
          <w:szCs w:val="28"/>
        </w:rPr>
        <w:t>。</w:t>
      </w:r>
    </w:p>
    <w:p w14:paraId="7745F64C">
      <w:pPr>
        <w:spacing w:line="580" w:lineRule="exact"/>
        <w:ind w:firstLine="548" w:firstLineChars="196"/>
        <w:rPr>
          <w:rFonts w:hint="eastAsia" w:ascii="黑体" w:eastAsia="黑体"/>
          <w:b/>
          <w:sz w:val="28"/>
          <w:szCs w:val="28"/>
        </w:rPr>
      </w:pPr>
    </w:p>
    <w:p w14:paraId="00BF41A8">
      <w:pPr>
        <w:spacing w:line="580" w:lineRule="exact"/>
        <w:ind w:firstLine="548" w:firstLineChars="196"/>
        <w:rPr>
          <w:rFonts w:hint="eastAsia" w:ascii="黑体" w:eastAsia="黑体"/>
          <w:b/>
          <w:sz w:val="28"/>
          <w:szCs w:val="28"/>
        </w:rPr>
      </w:pPr>
    </w:p>
    <w:p w14:paraId="5A1A4F29">
      <w:pPr>
        <w:spacing w:line="580" w:lineRule="exact"/>
        <w:ind w:firstLine="548" w:firstLineChars="196"/>
        <w:rPr>
          <w:rFonts w:hint="eastAsia" w:ascii="黑体" w:eastAsia="黑体"/>
          <w:b/>
          <w:sz w:val="28"/>
          <w:szCs w:val="28"/>
        </w:rPr>
      </w:pPr>
    </w:p>
    <w:p w14:paraId="6FDDAA63">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11B2BDC">
      <w:pPr>
        <w:tabs>
          <w:tab w:val="center" w:pos="6979"/>
        </w:tabs>
        <w:spacing w:line="580" w:lineRule="exact"/>
        <w:ind w:firstLine="548" w:firstLineChars="196"/>
        <w:rPr>
          <w:rFonts w:hint="eastAsia" w:ascii="黑体" w:eastAsia="仿宋_GB2312"/>
          <w:b/>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976.35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235DE375">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60518B4A">
      <w:pPr>
        <w:tabs>
          <w:tab w:val="center" w:pos="6979"/>
        </w:tabs>
        <w:jc w:val="center"/>
        <w:rPr>
          <w:rFonts w:hint="eastAsia" w:ascii="宋体" w:hAnsi="宋体" w:cs="宋体"/>
          <w:b/>
          <w:bCs/>
          <w:spacing w:val="40"/>
          <w:kern w:val="0"/>
          <w:sz w:val="32"/>
          <w:szCs w:val="32"/>
        </w:rPr>
      </w:pPr>
    </w:p>
    <w:p w14:paraId="7C935D77">
      <w:pPr>
        <w:tabs>
          <w:tab w:val="center" w:pos="6979"/>
        </w:tabs>
        <w:jc w:val="center"/>
        <w:rPr>
          <w:rFonts w:hint="eastAsia" w:ascii="宋体" w:hAnsi="宋体" w:cs="宋体"/>
          <w:b/>
          <w:bCs/>
          <w:spacing w:val="40"/>
          <w:kern w:val="0"/>
          <w:sz w:val="32"/>
          <w:szCs w:val="32"/>
        </w:rPr>
      </w:pPr>
    </w:p>
    <w:p w14:paraId="722E3D41">
      <w:pPr>
        <w:tabs>
          <w:tab w:val="center" w:pos="6979"/>
        </w:tabs>
        <w:jc w:val="center"/>
        <w:rPr>
          <w:rFonts w:hint="eastAsia" w:ascii="宋体" w:hAnsi="宋体" w:cs="宋体"/>
          <w:b/>
          <w:bCs/>
          <w:spacing w:val="40"/>
          <w:kern w:val="0"/>
          <w:sz w:val="32"/>
          <w:szCs w:val="32"/>
        </w:rPr>
      </w:pPr>
    </w:p>
    <w:p w14:paraId="3F963960">
      <w:pPr>
        <w:tabs>
          <w:tab w:val="center" w:pos="6979"/>
        </w:tabs>
        <w:jc w:val="center"/>
        <w:rPr>
          <w:rFonts w:hint="eastAsia" w:ascii="宋体" w:hAnsi="宋体" w:cs="宋体"/>
          <w:b/>
          <w:bCs/>
          <w:spacing w:val="40"/>
          <w:kern w:val="0"/>
          <w:sz w:val="32"/>
          <w:szCs w:val="32"/>
        </w:rPr>
      </w:pPr>
    </w:p>
    <w:p w14:paraId="3BAA24D0">
      <w:pPr>
        <w:tabs>
          <w:tab w:val="center" w:pos="6979"/>
        </w:tabs>
        <w:jc w:val="center"/>
        <w:rPr>
          <w:rFonts w:hint="eastAsia" w:ascii="宋体" w:hAnsi="宋体" w:cs="宋体"/>
          <w:b/>
          <w:bCs/>
          <w:spacing w:val="40"/>
          <w:kern w:val="0"/>
          <w:sz w:val="32"/>
          <w:szCs w:val="32"/>
        </w:rPr>
      </w:pPr>
    </w:p>
    <w:p w14:paraId="5AC0E0AE">
      <w:pPr>
        <w:tabs>
          <w:tab w:val="center" w:pos="6979"/>
        </w:tabs>
        <w:jc w:val="center"/>
        <w:rPr>
          <w:rFonts w:hint="eastAsia" w:ascii="宋体" w:hAnsi="宋体" w:cs="宋体"/>
          <w:b/>
          <w:bCs/>
          <w:spacing w:val="40"/>
          <w:kern w:val="0"/>
          <w:sz w:val="32"/>
          <w:szCs w:val="32"/>
        </w:rPr>
      </w:pPr>
    </w:p>
    <w:p w14:paraId="38C77CD0">
      <w:pPr>
        <w:tabs>
          <w:tab w:val="center" w:pos="6979"/>
        </w:tabs>
        <w:jc w:val="center"/>
        <w:rPr>
          <w:rFonts w:hint="eastAsia" w:ascii="宋体" w:hAnsi="宋体" w:cs="宋体"/>
          <w:b/>
          <w:bCs/>
          <w:spacing w:val="40"/>
          <w:kern w:val="0"/>
          <w:sz w:val="32"/>
          <w:szCs w:val="32"/>
        </w:rPr>
      </w:pPr>
    </w:p>
    <w:p w14:paraId="1A31FAF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CC05FD2">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54E8C0D">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1.62</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1.62</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。其中：</w:t>
      </w:r>
    </w:p>
    <w:p w14:paraId="16FE5AD9">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持平</w:t>
      </w:r>
      <w:r>
        <w:rPr>
          <w:rFonts w:hint="eastAsia" w:ascii="仿宋_GB2312" w:eastAsia="仿宋_GB2312"/>
          <w:sz w:val="28"/>
          <w:szCs w:val="28"/>
        </w:rPr>
        <w:t>；</w:t>
      </w:r>
    </w:p>
    <w:p w14:paraId="41C302F0">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持平；</w:t>
      </w:r>
    </w:p>
    <w:p w14:paraId="13C5E432">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1.62</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1.62</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19618D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C95F450">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本单位2024年不在机关运行经费统计范围之内。</w:t>
      </w:r>
    </w:p>
    <w:p w14:paraId="3D4CDB0F">
      <w:pPr>
        <w:ind w:left="540"/>
        <w:rPr>
          <w:rFonts w:hint="eastAsia" w:ascii="黑体" w:eastAsia="黑体"/>
          <w:sz w:val="28"/>
          <w:szCs w:val="28"/>
        </w:rPr>
      </w:pPr>
      <w:r>
        <w:rPr>
          <w:rFonts w:hint="eastAsia" w:ascii="黑体" w:eastAsia="黑体"/>
          <w:sz w:val="28"/>
          <w:szCs w:val="28"/>
        </w:rPr>
        <w:t>三、政府采购支出情况</w:t>
      </w:r>
    </w:p>
    <w:p w14:paraId="526BC567">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本单位2024年无政府采购支出。</w:t>
      </w:r>
    </w:p>
    <w:p w14:paraId="38E22B1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01CD224">
      <w:pPr>
        <w:ind w:firstLine="560" w:firstLineChars="200"/>
        <w:rPr>
          <w:rFonts w:hint="eastAsia" w:ascii="仿宋_GB2312" w:eastAsia="仿宋_GB2312"/>
          <w:sz w:val="28"/>
          <w:szCs w:val="28"/>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12月31日，北京市总工会职工服务中心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351884B2">
      <w:pPr>
        <w:pStyle w:val="2"/>
      </w:pPr>
      <w:bookmarkStart w:id="0" w:name="_GoBack"/>
      <w:bookmarkEnd w:id="0"/>
    </w:p>
    <w:p w14:paraId="0154852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3E5DF69">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本单位2024年无政府购买服务支出</w:t>
      </w:r>
      <w:r>
        <w:rPr>
          <w:rFonts w:hint="eastAsia" w:ascii="仿宋_GB2312" w:eastAsia="仿宋_GB2312"/>
          <w:sz w:val="28"/>
          <w:szCs w:val="28"/>
        </w:rPr>
        <w:t>。</w:t>
      </w:r>
    </w:p>
    <w:p w14:paraId="19F9AAAF">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D82EF90">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A2D1618">
      <w:pPr>
        <w:ind w:firstLine="560" w:firstLineChars="200"/>
        <w:rPr>
          <w:rFonts w:hint="eastAsia" w:ascii="仿宋_GB2312" w:hAnsi="宋体"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FD19906">
      <w:pPr>
        <w:ind w:firstLine="700" w:firstLineChars="250"/>
        <w:rPr>
          <w:rFonts w:hint="eastAsia" w:ascii="仿宋_GB2312" w:eastAsia="仿宋_GB2312"/>
          <w:sz w:val="28"/>
          <w:szCs w:val="28"/>
          <w:lang w:val="en-US" w:eastAsia="zh-CN"/>
        </w:rPr>
      </w:pPr>
      <w:r>
        <w:rPr>
          <w:rFonts w:hint="eastAsia" w:ascii="仿宋_GB2312" w:hAnsi="宋体" w:eastAsia="仿宋_GB2312"/>
          <w:sz w:val="28"/>
          <w:szCs w:val="28"/>
          <w:lang w:val="en-US" w:eastAsia="zh-CN"/>
        </w:rPr>
        <w:t>3.</w:t>
      </w:r>
      <w:r>
        <w:rPr>
          <w:rFonts w:hint="eastAsia" w:ascii="仿宋_GB2312" w:eastAsia="仿宋_GB2312"/>
          <w:sz w:val="28"/>
          <w:szCs w:val="28"/>
          <w:lang w:val="en-US" w:eastAsia="zh-CN"/>
        </w:rPr>
        <w:t>一般公共服务支出（类）群众团体事务（款）事业运行（项）：反映事业单位的基本支出，不包括行政单位（包括实行公务员管理的事业单位）后勤服务中心、医务室等附属事业单位。</w:t>
      </w:r>
    </w:p>
    <w:p w14:paraId="63B1E6E4">
      <w:pPr>
        <w:ind w:firstLine="700" w:firstLineChars="250"/>
        <w:rPr>
          <w:rFonts w:hint="eastAsia"/>
          <w:lang w:val="en-US" w:eastAsia="zh-CN"/>
        </w:rPr>
      </w:pPr>
      <w:r>
        <w:rPr>
          <w:rFonts w:hint="eastAsia" w:ascii="仿宋_GB2312" w:eastAsia="仿宋_GB2312"/>
          <w:sz w:val="28"/>
          <w:szCs w:val="28"/>
          <w:lang w:val="en-US" w:eastAsia="zh-CN"/>
        </w:rPr>
        <w:t>4.社会保障和就业支出（类）行政事业单位养老支出（款）机关事业单位基本养老保险缴费支出（项）：反映机关事业单位实施养老保险制度由单位缴纳的基本养老保险费支出。</w:t>
      </w:r>
    </w:p>
    <w:p w14:paraId="3C3F562B">
      <w:pPr>
        <w:ind w:firstLine="700" w:firstLineChars="250"/>
        <w:rPr>
          <w:rFonts w:hint="eastAsia" w:ascii="仿宋_GB2312" w:eastAsia="仿宋_GB2312"/>
          <w:sz w:val="28"/>
          <w:szCs w:val="28"/>
          <w:lang w:val="en-US" w:eastAsia="zh-CN"/>
        </w:rPr>
      </w:pPr>
      <w:r>
        <w:rPr>
          <w:rFonts w:hint="eastAsia" w:ascii="仿宋_GB2312" w:eastAsia="仿宋_GB2312"/>
          <w:sz w:val="28"/>
          <w:szCs w:val="28"/>
          <w:lang w:val="en-US" w:eastAsia="zh-CN"/>
        </w:rPr>
        <w:t>5.社会保障和就业支出（类）行政事业单位养老支出（款）机关事业单位职业年金缴费支出（项）：反映机关事业单位实施养老保险制度由单位实际缴纳的职业年金支出。</w:t>
      </w:r>
    </w:p>
    <w:p w14:paraId="4EFBE8D4">
      <w:pPr>
        <w:ind w:firstLine="700" w:firstLineChars="250"/>
        <w:rPr>
          <w:rFonts w:hint="eastAsia" w:ascii="仿宋_GB2312" w:eastAsia="仿宋_GB2312"/>
          <w:sz w:val="28"/>
          <w:szCs w:val="28"/>
          <w:lang w:val="en-US" w:eastAsia="zh-CN"/>
        </w:rPr>
      </w:pPr>
      <w:r>
        <w:rPr>
          <w:rFonts w:hint="eastAsia" w:ascii="仿宋_GB2312" w:eastAsia="仿宋_GB2312"/>
          <w:sz w:val="28"/>
          <w:szCs w:val="28"/>
          <w:lang w:val="en-US" w:eastAsia="zh-CN"/>
        </w:rPr>
        <w:t>6.社会保障和就业支出（类）抚恤（款）死亡抚恤（项）：反映按规定用于烈士和牺牲、病故人员家属的一次性和定期抚恤金、丧葬补助费以及烈士褒扬金。</w:t>
      </w:r>
    </w:p>
    <w:p w14:paraId="30735F54">
      <w:pPr>
        <w:pStyle w:val="3"/>
        <w:rPr>
          <w:rFonts w:hint="eastAsia"/>
        </w:rPr>
      </w:pPr>
    </w:p>
    <w:p w14:paraId="47E5994C">
      <w:pPr>
        <w:tabs>
          <w:tab w:val="center" w:pos="6979"/>
        </w:tabs>
        <w:spacing w:line="380" w:lineRule="exact"/>
        <w:jc w:val="both"/>
        <w:rPr>
          <w:rFonts w:ascii="宋体" w:hAnsi="宋体" w:cs="宋体"/>
          <w:b/>
          <w:bCs/>
          <w:kern w:val="0"/>
          <w:sz w:val="28"/>
          <w:szCs w:val="28"/>
        </w:rPr>
      </w:pPr>
    </w:p>
    <w:p w14:paraId="3A41FA44">
      <w:pPr>
        <w:jc w:val="both"/>
        <w:rPr>
          <w:rFonts w:hint="eastAsia" w:ascii="黑体" w:eastAsia="黑体"/>
          <w:sz w:val="32"/>
          <w:szCs w:val="32"/>
        </w:rPr>
      </w:pPr>
    </w:p>
    <w:p w14:paraId="089B82B9">
      <w:pPr>
        <w:ind w:firstLine="640" w:firstLineChars="200"/>
        <w:jc w:val="center"/>
        <w:rPr>
          <w:rFonts w:hint="eastAsia" w:ascii="黑体" w:eastAsia="黑体"/>
          <w:sz w:val="32"/>
          <w:szCs w:val="32"/>
        </w:rPr>
      </w:pPr>
    </w:p>
    <w:p w14:paraId="1BDB2EB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89FD614">
      <w:pPr>
        <w:ind w:firstLine="560" w:firstLineChars="200"/>
        <w:rPr>
          <w:rFonts w:hint="eastAsia" w:ascii="黑体" w:eastAsia="黑体"/>
          <w:sz w:val="28"/>
          <w:szCs w:val="28"/>
          <w:highlight w:val="yellow"/>
        </w:rPr>
      </w:pPr>
    </w:p>
    <w:p w14:paraId="59C176D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eastAsia="黑体"/>
          <w:sz w:val="24"/>
          <w:szCs w:val="24"/>
        </w:rPr>
      </w:pPr>
      <w:r>
        <w:rPr>
          <w:rFonts w:hint="eastAsia" w:ascii="仿宋_GB2312" w:hAnsi="仿宋_GB2312" w:eastAsia="仿宋_GB2312" w:cs="仿宋_GB2312"/>
          <w:sz w:val="28"/>
          <w:szCs w:val="28"/>
          <w:lang w:val="en-US" w:eastAsia="zh-CN"/>
        </w:rPr>
        <w:t>本单位</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年度无</w:t>
      </w:r>
      <w:r>
        <w:rPr>
          <w:rFonts w:hint="eastAsia" w:ascii="仿宋_GB2312" w:hAnsi="仿宋_GB2312" w:eastAsia="仿宋_GB2312" w:cs="仿宋_GB2312"/>
          <w:sz w:val="28"/>
          <w:szCs w:val="28"/>
          <w:lang w:val="en-US" w:eastAsia="zh-CN"/>
        </w:rPr>
        <w:t>部门</w:t>
      </w:r>
      <w:r>
        <w:rPr>
          <w:rFonts w:hint="eastAsia" w:ascii="仿宋_GB2312" w:hAnsi="仿宋_GB2312" w:eastAsia="仿宋_GB2312" w:cs="仿宋_GB2312"/>
          <w:sz w:val="28"/>
          <w:szCs w:val="28"/>
        </w:rPr>
        <w:t>预算项目支出。</w:t>
      </w:r>
    </w:p>
    <w:p w14:paraId="6170084D">
      <w:pPr>
        <w:spacing w:line="480" w:lineRule="exact"/>
        <w:rPr>
          <w:rFonts w:hint="eastAsia" w:ascii="仿宋_GB2312" w:hAnsi="仿宋_GB2312" w:eastAsia="仿宋_GB2312" w:cs="仿宋_GB2312"/>
          <w:sz w:val="32"/>
          <w:szCs w:val="32"/>
        </w:rPr>
      </w:pPr>
    </w:p>
    <w:p w14:paraId="5445EFAE">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2A03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EAA8BF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1F32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782387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1ADB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5E7820D">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E708A"/>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7D05EA7"/>
    <w:rsid w:val="0BA148CA"/>
    <w:rsid w:val="0C1165C4"/>
    <w:rsid w:val="0D6D544B"/>
    <w:rsid w:val="0DD136FE"/>
    <w:rsid w:val="0F8E2C57"/>
    <w:rsid w:val="1059665E"/>
    <w:rsid w:val="10AC13BA"/>
    <w:rsid w:val="13B7236B"/>
    <w:rsid w:val="145A6C1B"/>
    <w:rsid w:val="14B73493"/>
    <w:rsid w:val="167A2FF9"/>
    <w:rsid w:val="18581C69"/>
    <w:rsid w:val="1AEC0734"/>
    <w:rsid w:val="1B796AEB"/>
    <w:rsid w:val="1DEF20B0"/>
    <w:rsid w:val="214243FA"/>
    <w:rsid w:val="21AD613C"/>
    <w:rsid w:val="22467189"/>
    <w:rsid w:val="257A14F5"/>
    <w:rsid w:val="27196C26"/>
    <w:rsid w:val="29EF086F"/>
    <w:rsid w:val="2EFFE297"/>
    <w:rsid w:val="301437CA"/>
    <w:rsid w:val="30D33DC3"/>
    <w:rsid w:val="349D1F0A"/>
    <w:rsid w:val="34DD0473"/>
    <w:rsid w:val="3C684897"/>
    <w:rsid w:val="433E495C"/>
    <w:rsid w:val="455A13E5"/>
    <w:rsid w:val="45B637BC"/>
    <w:rsid w:val="489F2FD7"/>
    <w:rsid w:val="4AC27CB3"/>
    <w:rsid w:val="4BF72BEF"/>
    <w:rsid w:val="4CF43A46"/>
    <w:rsid w:val="4FA90297"/>
    <w:rsid w:val="4FC41A43"/>
    <w:rsid w:val="51DB3C59"/>
    <w:rsid w:val="550C0952"/>
    <w:rsid w:val="55762E42"/>
    <w:rsid w:val="57A7B272"/>
    <w:rsid w:val="58470068"/>
    <w:rsid w:val="5865244C"/>
    <w:rsid w:val="58747CAC"/>
    <w:rsid w:val="5A1720F9"/>
    <w:rsid w:val="5B9C37C2"/>
    <w:rsid w:val="5BA7C654"/>
    <w:rsid w:val="60A54109"/>
    <w:rsid w:val="61BE77C7"/>
    <w:rsid w:val="61D01CDF"/>
    <w:rsid w:val="64C0607C"/>
    <w:rsid w:val="65756C86"/>
    <w:rsid w:val="674D385B"/>
    <w:rsid w:val="676F09E1"/>
    <w:rsid w:val="69E47AB2"/>
    <w:rsid w:val="71793A80"/>
    <w:rsid w:val="7357290B"/>
    <w:rsid w:val="798524E4"/>
    <w:rsid w:val="7A7F1C49"/>
    <w:rsid w:val="7B5B7AE6"/>
    <w:rsid w:val="7B7B6628"/>
    <w:rsid w:val="7BA7071E"/>
    <w:rsid w:val="7BDF6DA8"/>
    <w:rsid w:val="7C7EDC1A"/>
    <w:rsid w:val="7CCED98D"/>
    <w:rsid w:val="7D08410F"/>
    <w:rsid w:val="7DB96DED"/>
    <w:rsid w:val="7DD3AD81"/>
    <w:rsid w:val="7EB95576"/>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2785</Words>
  <Characters>3154</Characters>
  <Lines>44</Lines>
  <Paragraphs>12</Paragraphs>
  <TotalTime>18</TotalTime>
  <ScaleCrop>false</ScaleCrop>
  <LinksUpToDate>false</LinksUpToDate>
  <CharactersWithSpaces>3173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文文</cp:lastModifiedBy>
  <cp:lastPrinted>2020-08-07T11:39:00Z</cp:lastPrinted>
  <dcterms:modified xsi:type="dcterms:W3CDTF">2025-09-01T03:34:40Z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eyJoZGlkIjoiOTc1NjVlYzcwMzJhYTdlZWVjZjA0NjRjOWRjNmM2MzAiLCJ1c2VySWQiOiIyMzQ2OTUwMjUifQ==</vt:lpwstr>
  </property>
</Properties>
</file>