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2001D">
      <w:pPr>
        <w:jc w:val="center"/>
        <w:rPr>
          <w:rFonts w:ascii="仿宋_GB2312" w:eastAsia="仿宋_GB2312"/>
          <w:b/>
          <w:sz w:val="32"/>
          <w:szCs w:val="32"/>
        </w:rPr>
      </w:pPr>
    </w:p>
    <w:p w14:paraId="0C1D33A0">
      <w:pPr>
        <w:jc w:val="center"/>
        <w:rPr>
          <w:rFonts w:ascii="黑体" w:eastAsia="黑体"/>
          <w:sz w:val="72"/>
          <w:szCs w:val="72"/>
        </w:rPr>
      </w:pPr>
    </w:p>
    <w:p w14:paraId="51E49665">
      <w:pPr>
        <w:jc w:val="center"/>
        <w:rPr>
          <w:rFonts w:ascii="黑体" w:eastAsia="黑体"/>
          <w:sz w:val="72"/>
          <w:szCs w:val="72"/>
        </w:rPr>
      </w:pPr>
    </w:p>
    <w:p w14:paraId="27C930E1">
      <w:pPr>
        <w:jc w:val="center"/>
        <w:rPr>
          <w:rFonts w:ascii="黑体" w:eastAsia="黑体"/>
          <w:sz w:val="72"/>
          <w:szCs w:val="72"/>
        </w:rPr>
      </w:pPr>
    </w:p>
    <w:p w14:paraId="5F051E46">
      <w:pPr>
        <w:jc w:val="center"/>
        <w:rPr>
          <w:rFonts w:hint="eastAsia" w:ascii="黑体" w:eastAsia="黑体"/>
          <w:sz w:val="72"/>
          <w:szCs w:val="72"/>
          <w:lang w:val="en-US" w:eastAsia="zh-CN"/>
        </w:rPr>
      </w:pPr>
      <w:r>
        <w:rPr>
          <w:rFonts w:hint="eastAsia" w:ascii="黑体" w:eastAsia="黑体"/>
          <w:sz w:val="72"/>
          <w:szCs w:val="72"/>
          <w:lang w:val="en-US" w:eastAsia="zh-CN"/>
        </w:rPr>
        <w:t>北京市总工会（本级）</w:t>
      </w:r>
    </w:p>
    <w:p w14:paraId="4A92EC09">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15C1E04">
      <w:pPr>
        <w:jc w:val="center"/>
        <w:rPr>
          <w:rFonts w:ascii="黑体" w:eastAsia="黑体"/>
          <w:sz w:val="52"/>
          <w:szCs w:val="52"/>
        </w:rPr>
      </w:pPr>
    </w:p>
    <w:p w14:paraId="65EBF0BC">
      <w:pPr>
        <w:jc w:val="center"/>
        <w:rPr>
          <w:rFonts w:ascii="黑体" w:eastAsia="黑体"/>
          <w:sz w:val="52"/>
          <w:szCs w:val="52"/>
        </w:rPr>
      </w:pPr>
    </w:p>
    <w:p w14:paraId="460463F2">
      <w:pPr>
        <w:jc w:val="center"/>
        <w:rPr>
          <w:rFonts w:ascii="黑体" w:eastAsia="黑体"/>
          <w:sz w:val="52"/>
          <w:szCs w:val="52"/>
        </w:rPr>
      </w:pPr>
    </w:p>
    <w:p w14:paraId="2663FCCA">
      <w:pPr>
        <w:jc w:val="center"/>
        <w:rPr>
          <w:rFonts w:ascii="黑体" w:eastAsia="黑体"/>
          <w:sz w:val="52"/>
          <w:szCs w:val="52"/>
        </w:rPr>
      </w:pPr>
    </w:p>
    <w:p w14:paraId="39B6ECF5">
      <w:pPr>
        <w:jc w:val="center"/>
        <w:rPr>
          <w:rFonts w:ascii="黑体" w:eastAsia="黑体"/>
          <w:sz w:val="32"/>
          <w:szCs w:val="32"/>
        </w:rPr>
      </w:pPr>
    </w:p>
    <w:p w14:paraId="34FCAD7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D0B6C80">
      <w:pPr>
        <w:spacing w:line="500" w:lineRule="exact"/>
        <w:ind w:firstLine="645"/>
        <w:jc w:val="center"/>
        <w:rPr>
          <w:rFonts w:hint="eastAsia" w:ascii="宋体" w:hAnsi="宋体" w:cs="宋体"/>
          <w:b/>
          <w:bCs/>
          <w:kern w:val="0"/>
          <w:sz w:val="36"/>
          <w:szCs w:val="36"/>
        </w:rPr>
      </w:pPr>
    </w:p>
    <w:p w14:paraId="179454B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6E4418B7">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1AF79F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F8ED61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7FB189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64C799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0FBC4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BB116D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727341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4F2BE0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A159D7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7E1AA1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E2E1B7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DDC579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A4883C3">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07571C2">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F6E558D">
      <w:pPr>
        <w:tabs>
          <w:tab w:val="center" w:pos="6979"/>
        </w:tabs>
        <w:spacing w:before="156" w:beforeLines="50" w:after="156" w:afterLines="50"/>
        <w:jc w:val="center"/>
        <w:rPr>
          <w:rFonts w:ascii="宋体" w:hAnsi="宋体" w:cs="宋体"/>
          <w:b/>
          <w:bCs/>
          <w:spacing w:val="40"/>
          <w:kern w:val="0"/>
          <w:sz w:val="32"/>
          <w:szCs w:val="32"/>
        </w:rPr>
      </w:pPr>
    </w:p>
    <w:p w14:paraId="2A8BEC48">
      <w:pPr>
        <w:tabs>
          <w:tab w:val="center" w:pos="6979"/>
        </w:tabs>
        <w:spacing w:before="156" w:beforeLines="50" w:after="156" w:afterLines="50"/>
        <w:jc w:val="center"/>
        <w:rPr>
          <w:rFonts w:ascii="宋体" w:hAnsi="宋体" w:cs="宋体"/>
          <w:b/>
          <w:bCs/>
          <w:spacing w:val="40"/>
          <w:kern w:val="0"/>
          <w:sz w:val="32"/>
          <w:szCs w:val="32"/>
        </w:rPr>
      </w:pPr>
    </w:p>
    <w:p w14:paraId="1E4DABF5">
      <w:pPr>
        <w:tabs>
          <w:tab w:val="center" w:pos="6979"/>
        </w:tabs>
        <w:spacing w:before="156" w:beforeLines="50" w:after="156" w:afterLines="50"/>
        <w:jc w:val="center"/>
        <w:rPr>
          <w:rFonts w:ascii="宋体" w:hAnsi="宋体" w:cs="宋体"/>
          <w:b/>
          <w:bCs/>
          <w:spacing w:val="40"/>
          <w:kern w:val="0"/>
          <w:sz w:val="32"/>
          <w:szCs w:val="32"/>
        </w:rPr>
      </w:pPr>
    </w:p>
    <w:p w14:paraId="16D58DCA">
      <w:pPr>
        <w:tabs>
          <w:tab w:val="center" w:pos="6979"/>
        </w:tabs>
        <w:spacing w:before="156" w:beforeLines="50" w:after="156" w:afterLines="50"/>
        <w:jc w:val="center"/>
        <w:rPr>
          <w:rFonts w:ascii="宋体" w:hAnsi="宋体" w:cs="宋体"/>
          <w:b/>
          <w:bCs/>
          <w:spacing w:val="40"/>
          <w:kern w:val="0"/>
          <w:sz w:val="32"/>
          <w:szCs w:val="32"/>
        </w:rPr>
      </w:pPr>
    </w:p>
    <w:p w14:paraId="588F392F">
      <w:pPr>
        <w:tabs>
          <w:tab w:val="center" w:pos="6979"/>
        </w:tabs>
        <w:spacing w:before="156" w:beforeLines="50" w:after="156" w:afterLines="50"/>
        <w:jc w:val="center"/>
        <w:rPr>
          <w:rFonts w:ascii="宋体" w:hAnsi="宋体" w:cs="宋体"/>
          <w:b/>
          <w:bCs/>
          <w:spacing w:val="40"/>
          <w:kern w:val="0"/>
          <w:sz w:val="32"/>
          <w:szCs w:val="32"/>
        </w:rPr>
      </w:pPr>
    </w:p>
    <w:p w14:paraId="5E62DFA6">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B0C00D0">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5B866BC">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FEC880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DF4869B">
      <w:pPr>
        <w:tabs>
          <w:tab w:val="center" w:pos="6979"/>
        </w:tabs>
        <w:spacing w:line="580" w:lineRule="exact"/>
        <w:ind w:firstLine="700" w:firstLineChars="250"/>
        <w:rPr>
          <w:rFonts w:hint="eastAsia" w:ascii="仿宋_GB2312" w:eastAsia="仿宋_GB2312"/>
          <w:b w:val="0"/>
          <w:bCs w:val="0"/>
          <w:sz w:val="28"/>
          <w:szCs w:val="28"/>
        </w:rPr>
      </w:pPr>
      <w:r>
        <w:rPr>
          <w:rFonts w:hint="eastAsia" w:ascii="仿宋_GB2312" w:eastAsia="仿宋_GB2312"/>
          <w:b w:val="0"/>
          <w:bCs w:val="0"/>
          <w:sz w:val="28"/>
          <w:szCs w:val="28"/>
        </w:rPr>
        <w:t>北京市总工会是北京市工会组织的领导机关，1950年2月正式成立。北京市总工会主要职责是组织和教育职工贯彻执行党的路线、方针和政策，根据市委、市政府、中华全国总工会的中心工作和党的工运方针，依照法律和工会章程，开展工会组织建设、职工权益维护、职工服务、职工发展等方面工作。教育职工不断提高思想道德、技术业务和科学文化素质，建设有理想、有道德、有文化、有纪律的职工队伍。本级为北京市总工会二级单位，独立核算单位1家。</w:t>
      </w:r>
    </w:p>
    <w:p w14:paraId="2A1EA281">
      <w:pPr>
        <w:spacing w:line="560" w:lineRule="exact"/>
        <w:ind w:firstLine="560" w:firstLineChars="200"/>
        <w:rPr>
          <w:rFonts w:hint="eastAsia"/>
        </w:rPr>
      </w:pPr>
      <w:r>
        <w:rPr>
          <w:rFonts w:hint="eastAsia" w:ascii="仿宋_GB2312" w:hAnsi="Times New Roman" w:eastAsia="仿宋_GB2312" w:cs="Times New Roman"/>
          <w:sz w:val="28"/>
          <w:szCs w:val="28"/>
        </w:rPr>
        <w:t>依据《北京市机构编制委员会办公室关于同意调整市总工会机关内设机构和人员编制的函》（京编办行〔2017〕177号），内设16个部门，分别为办公室、研究室、组织部、宣传教育部、权益工作部、职工发展部、职工服务工作部、基层组织建设部（工会经费代收管理办公室）、网络工作部、社会联络部、劳模工作部、女职工部、财务和资产管理部（招标采购办公室）、经费审查办公室、机关党委（党建工作部）、离退休干部处等。</w:t>
      </w:r>
    </w:p>
    <w:p w14:paraId="436F5662">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8E3E2CC">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5132.16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134.04</w:t>
      </w:r>
      <w:r>
        <w:rPr>
          <w:rFonts w:hint="eastAsia" w:ascii="仿宋_GB2312" w:eastAsia="仿宋_GB2312"/>
          <w:sz w:val="28"/>
          <w:szCs w:val="28"/>
        </w:rPr>
        <w:t>万元，下降</w:t>
      </w:r>
      <w:r>
        <w:rPr>
          <w:rFonts w:hint="eastAsia" w:ascii="仿宋_GB2312" w:eastAsia="仿宋_GB2312"/>
          <w:sz w:val="28"/>
          <w:szCs w:val="28"/>
          <w:lang w:val="en-US" w:eastAsia="zh-CN"/>
        </w:rPr>
        <w:t>2.55</w:t>
      </w:r>
      <w:r>
        <w:rPr>
          <w:rFonts w:hint="eastAsia" w:ascii="仿宋_GB2312" w:eastAsia="仿宋_GB2312"/>
          <w:sz w:val="28"/>
          <w:szCs w:val="28"/>
        </w:rPr>
        <w:t>%。</w:t>
      </w:r>
      <w:r>
        <w:rPr>
          <w:rFonts w:hint="eastAsia" w:ascii="仿宋_GB2312" w:eastAsia="仿宋_GB2312"/>
          <w:sz w:val="28"/>
          <w:szCs w:val="28"/>
          <w:lang w:val="en-US" w:eastAsia="zh-CN"/>
        </w:rPr>
        <w:t>与上年基本持平</w:t>
      </w:r>
    </w:p>
    <w:p w14:paraId="78AAB6F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092DEE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5132.16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134.04</w:t>
      </w:r>
      <w:r>
        <w:rPr>
          <w:rFonts w:hint="eastAsia" w:ascii="仿宋_GB2312" w:eastAsia="仿宋_GB2312"/>
          <w:sz w:val="28"/>
          <w:szCs w:val="28"/>
        </w:rPr>
        <w:t>万元，下降</w:t>
      </w:r>
      <w:r>
        <w:rPr>
          <w:rFonts w:hint="eastAsia" w:ascii="仿宋_GB2312" w:eastAsia="仿宋_GB2312"/>
          <w:sz w:val="28"/>
          <w:szCs w:val="28"/>
          <w:lang w:val="en-US" w:eastAsia="zh-CN"/>
        </w:rPr>
        <w:t>2.55</w:t>
      </w:r>
      <w:r>
        <w:rPr>
          <w:rFonts w:hint="eastAsia" w:ascii="仿宋_GB2312" w:eastAsia="仿宋_GB2312"/>
          <w:sz w:val="28"/>
          <w:szCs w:val="28"/>
        </w:rPr>
        <w:t>%</w:t>
      </w:r>
      <w:r>
        <w:rPr>
          <w:rFonts w:hint="eastAsia" w:ascii="仿宋_GB2312" w:eastAsia="仿宋_GB2312"/>
          <w:sz w:val="28"/>
          <w:szCs w:val="28"/>
          <w:lang w:eastAsia="zh-CN"/>
        </w:rPr>
        <w:t>。</w:t>
      </w:r>
    </w:p>
    <w:p w14:paraId="75027F66">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5132.16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5132.16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3F6010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FC72BD9">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76FE2A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C3602F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0ACB15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19850EB">
      <w:pPr>
        <w:pStyle w:val="3"/>
        <w:ind w:firstLine="0"/>
        <w:jc w:val="center"/>
      </w:pPr>
      <w:r>
        <w:rPr>
          <w:rFonts w:hint="eastAsia" w:ascii="仿宋_GB2312" w:eastAsia="仿宋_GB2312"/>
          <w:color w:val="000000"/>
          <w:sz w:val="32"/>
          <w:szCs w:val="32"/>
          <w:highlight w:val="none"/>
          <w:lang w:val="en-US" w:eastAsia="zh-CN"/>
        </w:rPr>
        <w:t>图1：收入决算</w:t>
      </w:r>
    </w:p>
    <w:p w14:paraId="24EF3B32">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FA48B10">
      <w:pPr>
        <w:tabs>
          <w:tab w:val="center" w:pos="6979"/>
        </w:tabs>
        <w:spacing w:line="580" w:lineRule="exact"/>
        <w:ind w:firstLine="570"/>
        <w:rPr>
          <w:rFonts w:hint="eastAsia" w:ascii="仿宋_GB2312" w:eastAsia="仿宋_GB2312"/>
          <w:sz w:val="28"/>
          <w:szCs w:val="28"/>
        </w:rPr>
      </w:pPr>
    </w:p>
    <w:p w14:paraId="7673AB5A">
      <w:pPr>
        <w:tabs>
          <w:tab w:val="center" w:pos="6979"/>
        </w:tabs>
        <w:spacing w:line="580" w:lineRule="exact"/>
        <w:ind w:firstLine="570"/>
        <w:rPr>
          <w:rFonts w:hint="eastAsia" w:ascii="仿宋_GB2312" w:eastAsia="仿宋_GB2312"/>
          <w:sz w:val="28"/>
          <w:szCs w:val="28"/>
        </w:rPr>
      </w:pPr>
    </w:p>
    <w:p w14:paraId="1F828BA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1BEAB9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4995.41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155.52</w:t>
      </w:r>
      <w:r>
        <w:rPr>
          <w:rFonts w:hint="eastAsia" w:ascii="仿宋_GB2312" w:eastAsia="仿宋_GB2312"/>
          <w:sz w:val="28"/>
          <w:szCs w:val="28"/>
        </w:rPr>
        <w:t>万元，下降</w:t>
      </w:r>
      <w:r>
        <w:rPr>
          <w:rFonts w:hint="eastAsia" w:ascii="仿宋_GB2312" w:eastAsia="仿宋_GB2312"/>
          <w:sz w:val="28"/>
          <w:szCs w:val="28"/>
          <w:lang w:val="en-US" w:eastAsia="zh-CN"/>
        </w:rPr>
        <w:t>3.02</w:t>
      </w:r>
      <w:r>
        <w:rPr>
          <w:rFonts w:hint="eastAsia" w:ascii="仿宋_GB2312" w:eastAsia="仿宋_GB2312"/>
          <w:sz w:val="28"/>
          <w:szCs w:val="28"/>
        </w:rPr>
        <w:t>%，其中：基本支出</w:t>
      </w:r>
      <w:r>
        <w:rPr>
          <w:rFonts w:ascii="仿宋_GB2312" w:eastAsia="仿宋_GB2312"/>
          <w:sz w:val="28"/>
          <w:szCs w:val="28"/>
        </w:rPr>
        <w:t>1390.85</w:t>
      </w:r>
      <w:r>
        <w:rPr>
          <w:rFonts w:hint="eastAsia" w:ascii="仿宋_GB2312" w:eastAsia="仿宋_GB2312"/>
          <w:sz w:val="28"/>
          <w:szCs w:val="28"/>
        </w:rPr>
        <w:t>万元，占支出合计的</w:t>
      </w:r>
      <w:r>
        <w:rPr>
          <w:rFonts w:hint="eastAsia" w:ascii="仿宋_GB2312" w:eastAsia="仿宋_GB2312"/>
          <w:sz w:val="28"/>
          <w:szCs w:val="28"/>
          <w:lang w:eastAsia="zh-CN"/>
        </w:rPr>
        <w:t>27.84</w:t>
      </w:r>
      <w:r>
        <w:rPr>
          <w:rFonts w:hint="eastAsia" w:ascii="仿宋_GB2312" w:eastAsia="仿宋_GB2312"/>
          <w:sz w:val="28"/>
          <w:szCs w:val="28"/>
        </w:rPr>
        <w:t>%；项目支出</w:t>
      </w:r>
      <w:r>
        <w:rPr>
          <w:rFonts w:ascii="仿宋_GB2312" w:eastAsia="仿宋_GB2312"/>
          <w:sz w:val="28"/>
          <w:szCs w:val="28"/>
        </w:rPr>
        <w:t>3604.57</w:t>
      </w:r>
      <w:r>
        <w:rPr>
          <w:rFonts w:hint="eastAsia" w:ascii="仿宋_GB2312" w:eastAsia="仿宋_GB2312"/>
          <w:sz w:val="28"/>
          <w:szCs w:val="28"/>
        </w:rPr>
        <w:t>万元，占支出合计的</w:t>
      </w:r>
      <w:r>
        <w:rPr>
          <w:rFonts w:hint="eastAsia" w:ascii="仿宋_GB2312" w:eastAsia="仿宋_GB2312"/>
          <w:sz w:val="28"/>
          <w:szCs w:val="28"/>
          <w:lang w:eastAsia="zh-CN"/>
        </w:rPr>
        <w:t>72.16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5A7B19FC">
      <w:pPr>
        <w:spacing w:line="560" w:lineRule="exact"/>
        <w:ind w:firstLine="640"/>
        <w:rPr>
          <w:rFonts w:hint="eastAsia" w:ascii="仿宋_GB2312" w:eastAsia="仿宋_GB2312" w:cs="Droid Sans"/>
          <w:color w:val="000000"/>
          <w:sz w:val="32"/>
          <w:szCs w:val="32"/>
          <w:highlight w:val="none"/>
          <w:lang w:eastAsia="zh-CN"/>
        </w:rPr>
      </w:pPr>
    </w:p>
    <w:p w14:paraId="1BCF6385">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E8B59D7">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B1A7B3B">
      <w:pPr>
        <w:tabs>
          <w:tab w:val="center" w:pos="6979"/>
        </w:tabs>
        <w:spacing w:line="580" w:lineRule="exact"/>
        <w:ind w:firstLine="548" w:firstLineChars="196"/>
        <w:rPr>
          <w:rFonts w:hint="eastAsia" w:ascii="黑体" w:eastAsia="黑体"/>
          <w:b/>
          <w:sz w:val="28"/>
          <w:szCs w:val="28"/>
        </w:rPr>
      </w:pPr>
    </w:p>
    <w:p w14:paraId="1DEC0C4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A74279E">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5132.16</w:t>
      </w:r>
      <w:r>
        <w:rPr>
          <w:rFonts w:hint="eastAsia" w:ascii="仿宋_GB2312" w:eastAsia="仿宋_GB2312"/>
          <w:sz w:val="28"/>
          <w:szCs w:val="28"/>
        </w:rPr>
        <w:t>万元，比上年减少</w:t>
      </w:r>
      <w:r>
        <w:rPr>
          <w:rFonts w:hint="eastAsia" w:ascii="仿宋_GB2312" w:eastAsia="仿宋_GB2312"/>
          <w:sz w:val="28"/>
          <w:szCs w:val="28"/>
          <w:lang w:val="en-US" w:eastAsia="zh-CN"/>
        </w:rPr>
        <w:t>134.04</w:t>
      </w:r>
      <w:r>
        <w:rPr>
          <w:rFonts w:hint="eastAsia" w:ascii="仿宋_GB2312" w:eastAsia="仿宋_GB2312"/>
          <w:sz w:val="28"/>
          <w:szCs w:val="28"/>
        </w:rPr>
        <w:t>万元，下降</w:t>
      </w:r>
      <w:r>
        <w:rPr>
          <w:rFonts w:hint="eastAsia" w:ascii="仿宋_GB2312" w:eastAsia="仿宋_GB2312"/>
          <w:sz w:val="28"/>
          <w:szCs w:val="28"/>
          <w:lang w:val="en-US" w:eastAsia="zh-CN"/>
        </w:rPr>
        <w:t>2.55</w:t>
      </w:r>
      <w:r>
        <w:rPr>
          <w:rFonts w:hint="eastAsia" w:ascii="仿宋_GB2312" w:eastAsia="仿宋_GB2312"/>
          <w:sz w:val="28"/>
          <w:szCs w:val="28"/>
        </w:rPr>
        <w:t>%。</w:t>
      </w:r>
      <w:r>
        <w:rPr>
          <w:rFonts w:hint="eastAsia" w:ascii="仿宋_GB2312" w:eastAsia="仿宋_GB2312"/>
          <w:sz w:val="28"/>
          <w:szCs w:val="28"/>
          <w:lang w:val="en-US" w:eastAsia="zh-CN"/>
        </w:rPr>
        <w:t>基本与上年度持平。</w:t>
      </w:r>
    </w:p>
    <w:p w14:paraId="2DDBB1F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B4100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3DC0146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4995.41</w:t>
      </w:r>
      <w:r>
        <w:rPr>
          <w:rFonts w:hint="eastAsia" w:ascii="仿宋_GB2312" w:eastAsia="仿宋_GB2312"/>
          <w:sz w:val="28"/>
          <w:szCs w:val="28"/>
        </w:rPr>
        <w:t>万元，主要用于以下方面</w:t>
      </w:r>
      <w:r>
        <w:rPr>
          <w:rFonts w:hint="eastAsia" w:ascii="仿宋_GB2312" w:eastAsia="仿宋_GB2312"/>
          <w:sz w:val="28"/>
          <w:szCs w:val="28"/>
          <w:lang w:eastAsia="zh-CN"/>
        </w:rPr>
        <w:t>：</w:t>
      </w:r>
      <w:r>
        <w:rPr>
          <w:rFonts w:hint="eastAsia" w:ascii="仿宋_GB2312" w:eastAsia="仿宋_GB2312"/>
          <w:sz w:val="28"/>
          <w:szCs w:val="28"/>
        </w:rPr>
        <w:t>一般公共服务支出</w:t>
      </w:r>
      <w:r>
        <w:rPr>
          <w:rFonts w:hint="eastAsia" w:ascii="仿宋_GB2312" w:eastAsia="仿宋_GB2312"/>
          <w:sz w:val="28"/>
          <w:szCs w:val="28"/>
          <w:lang w:val="en-US" w:eastAsia="zh-CN"/>
        </w:rPr>
        <w:t>4484.13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89.77</w:t>
      </w:r>
      <w:r>
        <w:rPr>
          <w:rFonts w:hint="eastAsia" w:ascii="仿宋_GB2312" w:eastAsia="仿宋_GB2312"/>
          <w:sz w:val="28"/>
          <w:szCs w:val="28"/>
        </w:rPr>
        <w:t>%；社会保障和就业支出</w:t>
      </w:r>
      <w:r>
        <w:rPr>
          <w:rFonts w:hint="eastAsia" w:ascii="仿宋_GB2312" w:eastAsia="仿宋_GB2312"/>
          <w:sz w:val="28"/>
          <w:szCs w:val="28"/>
          <w:lang w:val="en-US" w:eastAsia="zh-CN"/>
        </w:rPr>
        <w:t>511.28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10.23</w:t>
      </w:r>
      <w:r>
        <w:rPr>
          <w:rFonts w:hint="eastAsia" w:ascii="仿宋_GB2312" w:eastAsia="仿宋_GB2312"/>
          <w:sz w:val="28"/>
          <w:szCs w:val="28"/>
        </w:rPr>
        <w:t>%。</w:t>
      </w:r>
    </w:p>
    <w:p w14:paraId="6A657B4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BE5906C">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5006.82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4484.13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89.56</w:t>
      </w:r>
      <w:r>
        <w:rPr>
          <w:rFonts w:hint="eastAsia" w:ascii="仿宋_GB2312" w:eastAsia="仿宋_GB2312"/>
          <w:sz w:val="28"/>
          <w:szCs w:val="28"/>
          <w:highlight w:val="none"/>
        </w:rPr>
        <w:t>%。</w:t>
      </w:r>
    </w:p>
    <w:p w14:paraId="18514F0A">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1475941B">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highlight w:val="none"/>
        </w:rPr>
        <w:t>“群众团体事务”（款）202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5006.82</w:t>
      </w:r>
      <w:r>
        <w:rPr>
          <w:rFonts w:hint="eastAsia" w:ascii="仿宋_GB2312" w:eastAsia="仿宋_GB2312"/>
          <w:sz w:val="28"/>
          <w:szCs w:val="28"/>
          <w:highlight w:val="none"/>
        </w:rPr>
        <w:t>万元，2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4484.13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89.56</w:t>
      </w:r>
      <w:r>
        <w:rPr>
          <w:rFonts w:hint="eastAsia" w:ascii="仿宋_GB2312" w:eastAsia="仿宋_GB2312"/>
          <w:sz w:val="28"/>
          <w:szCs w:val="28"/>
        </w:rPr>
        <w:t>%。</w:t>
      </w:r>
      <w:r>
        <w:rPr>
          <w:rFonts w:hint="eastAsia" w:ascii="仿宋_GB2312" w:eastAsia="仿宋_GB2312"/>
          <w:sz w:val="28"/>
          <w:szCs w:val="28"/>
          <w:highlight w:val="none"/>
        </w:rPr>
        <w:t>主要原因：劳模春节慰问金、生活困难补助金等按照实际申请发放</w:t>
      </w:r>
      <w:r>
        <w:rPr>
          <w:rFonts w:hint="eastAsia" w:ascii="仿宋_GB2312" w:eastAsia="仿宋_GB2312"/>
          <w:sz w:val="28"/>
          <w:szCs w:val="28"/>
          <w:highlight w:val="none"/>
          <w:lang w:eastAsia="zh-CN"/>
        </w:rPr>
        <w:t>。</w:t>
      </w:r>
    </w:p>
    <w:p w14:paraId="0D701501">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418.85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511.28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122.07</w:t>
      </w:r>
      <w:r>
        <w:rPr>
          <w:rFonts w:hint="eastAsia" w:ascii="仿宋_GB2312" w:eastAsia="仿宋_GB2312"/>
          <w:sz w:val="28"/>
          <w:szCs w:val="28"/>
          <w:highlight w:val="none"/>
        </w:rPr>
        <w:t>%。其中：</w:t>
      </w:r>
    </w:p>
    <w:p w14:paraId="110F72FE">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418.85</w:t>
      </w:r>
      <w:r>
        <w:rPr>
          <w:rFonts w:hint="eastAsia" w:ascii="仿宋_GB2312" w:eastAsia="仿宋_GB2312"/>
          <w:sz w:val="28"/>
          <w:szCs w:val="28"/>
          <w:highlight w:val="none"/>
        </w:rPr>
        <w:t>万元，2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401.40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95.83</w:t>
      </w:r>
      <w:r>
        <w:rPr>
          <w:rFonts w:hint="eastAsia" w:ascii="仿宋_GB2312" w:eastAsia="仿宋_GB2312"/>
          <w:sz w:val="28"/>
          <w:szCs w:val="28"/>
        </w:rPr>
        <w:t>%。</w:t>
      </w:r>
      <w:r>
        <w:rPr>
          <w:rFonts w:hint="eastAsia" w:ascii="仿宋_GB2312" w:eastAsia="仿宋_GB2312"/>
          <w:sz w:val="28"/>
          <w:szCs w:val="28"/>
          <w:lang w:val="en-US" w:eastAsia="zh-CN"/>
        </w:rPr>
        <w:t>基本与年初预算持平。</w:t>
      </w:r>
    </w:p>
    <w:p w14:paraId="018A4CD1">
      <w:pPr>
        <w:spacing w:line="580" w:lineRule="exact"/>
        <w:ind w:firstLine="560" w:firstLineChars="200"/>
        <w:rPr>
          <w:rFonts w:hint="default"/>
          <w:lang w:val="en-US" w:eastAsia="zh-CN"/>
        </w:rPr>
      </w:pPr>
      <w:r>
        <w:rPr>
          <w:rFonts w:hint="eastAsia" w:ascii="仿宋_GB2312" w:eastAsia="仿宋_GB2312"/>
          <w:sz w:val="28"/>
          <w:szCs w:val="28"/>
        </w:rPr>
        <w:t>“抚恤”（款）</w:t>
      </w:r>
      <w:r>
        <w:rPr>
          <w:rFonts w:hint="eastAsia" w:ascii="仿宋_GB2312" w:eastAsia="仿宋_GB2312"/>
          <w:sz w:val="28"/>
          <w:szCs w:val="28"/>
          <w:lang w:val="en-US" w:eastAsia="zh-CN"/>
        </w:rPr>
        <w:t>2024年度年初预算0万元，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109.88</w:t>
      </w:r>
      <w:r>
        <w:rPr>
          <w:rFonts w:hint="eastAsia" w:ascii="仿宋_GB2312" w:eastAsia="仿宋_GB2312"/>
          <w:sz w:val="28"/>
          <w:szCs w:val="28"/>
        </w:rPr>
        <w:t>万元，主要原因：</w:t>
      </w:r>
      <w:r>
        <w:rPr>
          <w:rFonts w:hint="eastAsia" w:ascii="仿宋_GB2312" w:eastAsia="仿宋_GB2312"/>
          <w:sz w:val="28"/>
          <w:szCs w:val="28"/>
          <w:lang w:eastAsia="zh-CN"/>
        </w:rPr>
        <w:t>年内追加去世离退休人员抚恤金和丧葬费</w:t>
      </w:r>
      <w:r>
        <w:rPr>
          <w:rFonts w:hint="eastAsia" w:ascii="仿宋_GB2312" w:eastAsia="仿宋_GB2312"/>
          <w:sz w:val="28"/>
          <w:szCs w:val="28"/>
        </w:rPr>
        <w:t>。</w:t>
      </w:r>
    </w:p>
    <w:p w14:paraId="437593EC">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8F3C254">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2A07C5A2">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CBC0202">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本年度无此项支出。</w:t>
      </w:r>
    </w:p>
    <w:p w14:paraId="21FABB2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0EB318">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1390.85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ED17636">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211E8C2">
      <w:pPr>
        <w:tabs>
          <w:tab w:val="center" w:pos="6979"/>
        </w:tabs>
        <w:jc w:val="center"/>
        <w:rPr>
          <w:rFonts w:hint="eastAsia" w:ascii="宋体" w:hAnsi="宋体" w:cs="宋体"/>
          <w:b/>
          <w:bCs/>
          <w:spacing w:val="40"/>
          <w:kern w:val="0"/>
          <w:sz w:val="32"/>
          <w:szCs w:val="32"/>
        </w:rPr>
      </w:pPr>
    </w:p>
    <w:p w14:paraId="5AB6C37B">
      <w:pPr>
        <w:tabs>
          <w:tab w:val="center" w:pos="6979"/>
        </w:tabs>
        <w:jc w:val="center"/>
        <w:rPr>
          <w:rFonts w:hint="eastAsia" w:ascii="宋体" w:hAnsi="宋体" w:cs="宋体"/>
          <w:b/>
          <w:bCs/>
          <w:spacing w:val="40"/>
          <w:kern w:val="0"/>
          <w:sz w:val="32"/>
          <w:szCs w:val="32"/>
        </w:rPr>
      </w:pPr>
    </w:p>
    <w:p w14:paraId="6196809D">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42DF03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F0EEB41">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本年度无此项支出。</w:t>
      </w:r>
    </w:p>
    <w:p w14:paraId="3037B41C">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3503540">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28.57</w:t>
      </w:r>
      <w:r>
        <w:rPr>
          <w:rFonts w:hint="eastAsia" w:ascii="仿宋_GB2312" w:eastAsia="仿宋_GB2312"/>
          <w:sz w:val="28"/>
          <w:szCs w:val="28"/>
        </w:rPr>
        <w:t>万元，比上年减少</w:t>
      </w:r>
      <w:r>
        <w:rPr>
          <w:rFonts w:hint="eastAsia" w:ascii="仿宋_GB2312" w:eastAsia="仿宋_GB2312"/>
          <w:sz w:val="28"/>
          <w:szCs w:val="28"/>
          <w:lang w:val="en-US" w:eastAsia="zh-CN"/>
        </w:rPr>
        <w:t>0.8</w:t>
      </w:r>
      <w:r>
        <w:rPr>
          <w:rFonts w:hint="eastAsia" w:ascii="仿宋_GB2312" w:eastAsia="仿宋_GB2312"/>
          <w:sz w:val="28"/>
          <w:szCs w:val="28"/>
        </w:rPr>
        <w:t>万元，</w:t>
      </w:r>
      <w:r>
        <w:rPr>
          <w:rFonts w:hint="eastAsia" w:ascii="仿宋_GB2312" w:eastAsia="仿宋_GB2312"/>
          <w:sz w:val="28"/>
          <w:szCs w:val="28"/>
          <w:lang w:eastAsia="zh-CN"/>
        </w:rPr>
        <w:t>基本与上年度持平</w:t>
      </w:r>
      <w:r>
        <w:rPr>
          <w:rFonts w:hint="eastAsia" w:ascii="仿宋_GB2312" w:eastAsia="仿宋_GB2312"/>
          <w:sz w:val="28"/>
          <w:szCs w:val="28"/>
        </w:rPr>
        <w:t>。</w:t>
      </w:r>
    </w:p>
    <w:p w14:paraId="160365B8">
      <w:pPr>
        <w:ind w:left="540"/>
        <w:rPr>
          <w:rFonts w:hint="eastAsia" w:ascii="黑体" w:eastAsia="黑体"/>
          <w:sz w:val="28"/>
          <w:szCs w:val="28"/>
        </w:rPr>
      </w:pPr>
      <w:r>
        <w:rPr>
          <w:rFonts w:hint="eastAsia" w:ascii="黑体" w:eastAsia="黑体"/>
          <w:sz w:val="28"/>
          <w:szCs w:val="28"/>
        </w:rPr>
        <w:t>三、政府采购支出情况</w:t>
      </w:r>
    </w:p>
    <w:p w14:paraId="16494117">
      <w:pPr>
        <w:ind w:firstLine="537" w:firstLineChars="192"/>
        <w:rPr>
          <w:rFonts w:hint="eastAsia" w:ascii="黑体" w:eastAsia="黑体"/>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483.29</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483.29</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0D8F1E7A">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C302C27">
      <w:pPr>
        <w:tabs>
          <w:tab w:val="center" w:pos="6979"/>
        </w:tabs>
        <w:ind w:firstLine="554" w:firstLineChars="198"/>
        <w:rPr>
          <w:rFonts w:ascii="仿宋_GB2312" w:eastAsia="仿宋_GB2312"/>
          <w:sz w:val="32"/>
          <w:szCs w:val="32"/>
        </w:rPr>
      </w:pPr>
      <w:r>
        <w:rPr>
          <w:rFonts w:hint="eastAsia" w:ascii="仿宋_GB2312" w:eastAsia="仿宋_GB2312"/>
          <w:sz w:val="28"/>
          <w:szCs w:val="28"/>
        </w:rPr>
        <w:t>本年度无此项支出。</w:t>
      </w:r>
    </w:p>
    <w:p w14:paraId="5F6E4499">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CC4809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政府购买服务决算488.09</w:t>
      </w:r>
      <w:r>
        <w:rPr>
          <w:rFonts w:hint="eastAsia" w:ascii="仿宋_GB2312" w:eastAsia="仿宋_GB2312"/>
          <w:sz w:val="28"/>
          <w:szCs w:val="28"/>
        </w:rPr>
        <w:t>万元。</w:t>
      </w:r>
    </w:p>
    <w:p w14:paraId="49C08C03">
      <w:pPr>
        <w:ind w:firstLine="560" w:firstLineChars="200"/>
        <w:jc w:val="left"/>
        <w:rPr>
          <w:rFonts w:hint="eastAsia" w:ascii="黑体" w:eastAsia="黑体"/>
          <w:sz w:val="28"/>
          <w:szCs w:val="28"/>
        </w:rPr>
      </w:pPr>
    </w:p>
    <w:p w14:paraId="1C42F204">
      <w:pPr>
        <w:ind w:firstLine="560" w:firstLineChars="200"/>
        <w:jc w:val="left"/>
        <w:rPr>
          <w:rFonts w:hint="eastAsia" w:ascii="黑体" w:eastAsia="黑体"/>
          <w:sz w:val="28"/>
          <w:szCs w:val="28"/>
        </w:rPr>
      </w:pPr>
    </w:p>
    <w:p w14:paraId="61EE1885">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846CAE0">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F229DBD">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550EB8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1B55BBF">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A11FC52">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FBB9B56">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F748132">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7.一般公共服务支出（类）群众团体事务（款）行政运行（项）：反映行政单位（包括实行公务员管理的事业单位）的基本支出。</w:t>
      </w:r>
    </w:p>
    <w:p w14:paraId="6FFC83E7">
      <w:pPr>
        <w:ind w:firstLine="420" w:firstLineChars="150"/>
        <w:rPr>
          <w:rFonts w:hint="eastAsia"/>
        </w:rPr>
      </w:pPr>
      <w:r>
        <w:rPr>
          <w:rFonts w:hint="eastAsia" w:ascii="仿宋_GB2312" w:eastAsia="仿宋_GB2312"/>
          <w:sz w:val="28"/>
          <w:szCs w:val="28"/>
          <w:lang w:val="en-US" w:eastAsia="zh-CN"/>
        </w:rPr>
        <w:t>8.一般公共服务支出（类）群众团体事务（款）一般行政管理事务（项）：反映行政单位（包括实行公务员管理的事业单位）未单独设置项级科目的其他项目支出。</w:t>
      </w:r>
    </w:p>
    <w:p w14:paraId="4981592A">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9.社会保障和就业支出（类）行政事业单位养老支出（款）行政单位离退休（项）：反映行政单位（包括实行公务员管理的事业单位）开支的离退休经费。</w:t>
      </w:r>
    </w:p>
    <w:p w14:paraId="17950EE7">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10.社会保障和就业支出（类）抚恤（款）死亡抚恤（项）：反映按规定用于烈士和牺牲、病故人员家属的一次性和定期抚恤金、丧葬补助费以及烈士褒扬金。</w:t>
      </w:r>
    </w:p>
    <w:p w14:paraId="1F51457A">
      <w:pPr>
        <w:pStyle w:val="2"/>
        <w:ind w:left="0" w:leftChars="0" w:firstLine="0" w:firstLineChars="0"/>
        <w:rPr>
          <w:rFonts w:hint="eastAsia" w:ascii="黑体" w:eastAsia="黑体"/>
          <w:sz w:val="32"/>
          <w:szCs w:val="32"/>
        </w:rPr>
      </w:pPr>
    </w:p>
    <w:p w14:paraId="39589F92">
      <w:pPr>
        <w:ind w:firstLine="640" w:firstLineChars="200"/>
        <w:jc w:val="center"/>
        <w:rPr>
          <w:rFonts w:hint="eastAsia" w:ascii="黑体" w:eastAsia="黑体"/>
          <w:sz w:val="32"/>
          <w:szCs w:val="32"/>
        </w:rPr>
      </w:pPr>
    </w:p>
    <w:p w14:paraId="590C8B15">
      <w:pPr>
        <w:ind w:firstLine="640" w:firstLineChars="200"/>
        <w:jc w:val="center"/>
        <w:rPr>
          <w:rFonts w:hint="eastAsia" w:ascii="黑体" w:eastAsia="黑体"/>
          <w:sz w:val="32"/>
          <w:szCs w:val="32"/>
        </w:rPr>
      </w:pPr>
    </w:p>
    <w:p w14:paraId="63C9A691">
      <w:pPr>
        <w:ind w:firstLine="640" w:firstLineChars="200"/>
        <w:jc w:val="center"/>
        <w:rPr>
          <w:rFonts w:hint="eastAsia" w:ascii="黑体" w:eastAsia="黑体"/>
          <w:sz w:val="32"/>
          <w:szCs w:val="32"/>
        </w:rPr>
      </w:pPr>
    </w:p>
    <w:p w14:paraId="3C25F5E9">
      <w:pPr>
        <w:ind w:firstLine="640" w:firstLineChars="200"/>
        <w:jc w:val="center"/>
        <w:rPr>
          <w:rFonts w:hint="eastAsia" w:ascii="黑体" w:eastAsia="黑体"/>
          <w:sz w:val="32"/>
          <w:szCs w:val="32"/>
        </w:rPr>
      </w:pPr>
    </w:p>
    <w:p w14:paraId="7DFBEFFD">
      <w:pPr>
        <w:ind w:firstLine="640" w:firstLineChars="200"/>
        <w:jc w:val="center"/>
        <w:rPr>
          <w:rFonts w:hint="eastAsia" w:ascii="黑体" w:eastAsia="黑体"/>
          <w:sz w:val="32"/>
          <w:szCs w:val="32"/>
        </w:rPr>
      </w:pPr>
    </w:p>
    <w:p w14:paraId="10B5CA9B">
      <w:pPr>
        <w:ind w:firstLine="640" w:firstLineChars="200"/>
        <w:jc w:val="center"/>
        <w:rPr>
          <w:rFonts w:hint="eastAsia" w:ascii="黑体" w:eastAsia="黑体"/>
          <w:sz w:val="32"/>
          <w:szCs w:val="32"/>
        </w:rPr>
      </w:pPr>
    </w:p>
    <w:p w14:paraId="2157A166">
      <w:pPr>
        <w:ind w:firstLine="640" w:firstLineChars="200"/>
        <w:jc w:val="center"/>
        <w:rPr>
          <w:rFonts w:hint="eastAsia" w:ascii="黑体" w:eastAsia="黑体"/>
          <w:sz w:val="32"/>
          <w:szCs w:val="32"/>
        </w:rPr>
      </w:pPr>
    </w:p>
    <w:p w14:paraId="25313B85">
      <w:pPr>
        <w:ind w:firstLine="640" w:firstLineChars="200"/>
        <w:jc w:val="center"/>
        <w:rPr>
          <w:rFonts w:hint="eastAsia" w:ascii="黑体" w:eastAsia="黑体"/>
          <w:sz w:val="32"/>
          <w:szCs w:val="32"/>
        </w:rPr>
      </w:pPr>
      <w:bookmarkStart w:id="0" w:name="_GoBack"/>
      <w:bookmarkEnd w:id="0"/>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7F85FB1">
      <w:pPr>
        <w:ind w:firstLine="560" w:firstLineChars="200"/>
        <w:rPr>
          <w:rFonts w:hint="eastAsia" w:ascii="黑体" w:eastAsia="黑体"/>
          <w:sz w:val="28"/>
          <w:szCs w:val="28"/>
          <w:lang w:eastAsia="zh-CN"/>
        </w:rPr>
      </w:pPr>
      <w:r>
        <w:rPr>
          <w:rFonts w:hint="eastAsia" w:ascii="黑体" w:eastAsia="黑体"/>
          <w:sz w:val="28"/>
          <w:szCs w:val="28"/>
          <w:lang w:val="en-US" w:eastAsia="zh-CN"/>
        </w:rPr>
        <w:t>一</w:t>
      </w:r>
      <w:r>
        <w:rPr>
          <w:rFonts w:hint="eastAsia" w:ascii="黑体" w:eastAsia="黑体"/>
          <w:sz w:val="28"/>
          <w:szCs w:val="28"/>
        </w:rPr>
        <w:t>、项目支出绩效评价报告</w:t>
      </w:r>
    </w:p>
    <w:p w14:paraId="56A7454A">
      <w:pPr>
        <w:pStyle w:val="2"/>
        <w:numPr>
          <w:ilvl w:val="0"/>
          <w:numId w:val="0"/>
        </w:numPr>
        <w:ind w:firstLine="560" w:firstLineChars="200"/>
        <w:rPr>
          <w:rFonts w:hint="eastAsia" w:ascii="仿宋_GB2312" w:hAnsi="仿宋" w:eastAsia="仿宋_GB2312" w:cs="仿宋"/>
          <w:bCs/>
          <w:sz w:val="28"/>
          <w:szCs w:val="28"/>
        </w:rPr>
      </w:pPr>
      <w:r>
        <w:rPr>
          <w:rFonts w:hint="eastAsia" w:ascii="仿宋_GB2312" w:hAnsi="仿宋" w:eastAsia="仿宋_GB2312" w:cs="仿宋"/>
          <w:bCs/>
          <w:sz w:val="28"/>
          <w:szCs w:val="28"/>
          <w:lang w:eastAsia="zh-CN"/>
        </w:rPr>
        <w:t>详</w:t>
      </w:r>
      <w:r>
        <w:rPr>
          <w:rFonts w:hint="eastAsia" w:ascii="仿宋_GB2312" w:hAnsi="仿宋" w:eastAsia="仿宋_GB2312" w:cs="仿宋"/>
          <w:bCs/>
          <w:sz w:val="28"/>
          <w:szCs w:val="28"/>
        </w:rPr>
        <w:t>见附件。</w:t>
      </w:r>
    </w:p>
    <w:p w14:paraId="5CA8720C">
      <w:pPr>
        <w:numPr>
          <w:ilvl w:val="0"/>
          <w:numId w:val="0"/>
        </w:numPr>
        <w:ind w:firstLine="560" w:firstLineChars="200"/>
        <w:rPr>
          <w:rFonts w:hint="eastAsia" w:ascii="黑体" w:eastAsia="黑体"/>
          <w:sz w:val="28"/>
          <w:szCs w:val="28"/>
          <w:lang w:eastAsia="zh-CN"/>
        </w:rPr>
      </w:pPr>
      <w:r>
        <w:rPr>
          <w:rFonts w:hint="eastAsia" w:ascii="黑体" w:eastAsia="黑体"/>
          <w:sz w:val="28"/>
          <w:szCs w:val="28"/>
          <w:lang w:val="en-US" w:eastAsia="zh-CN"/>
        </w:rPr>
        <w:t>二、</w:t>
      </w:r>
      <w:r>
        <w:rPr>
          <w:rFonts w:hint="eastAsia" w:ascii="黑体" w:eastAsia="黑体"/>
          <w:sz w:val="28"/>
          <w:szCs w:val="28"/>
        </w:rPr>
        <w:t>项目</w:t>
      </w:r>
      <w:r>
        <w:rPr>
          <w:rFonts w:ascii="黑体" w:eastAsia="黑体"/>
          <w:sz w:val="28"/>
          <w:szCs w:val="28"/>
        </w:rPr>
        <w:t>支出绩效自评表</w:t>
      </w:r>
    </w:p>
    <w:p w14:paraId="4428C077">
      <w:pPr>
        <w:pStyle w:val="2"/>
        <w:numPr>
          <w:ilvl w:val="0"/>
          <w:numId w:val="0"/>
        </w:numPr>
        <w:ind w:firstLine="560" w:firstLineChars="200"/>
        <w:rPr>
          <w:rFonts w:hint="eastAsia" w:ascii="仿宋_GB2312" w:hAnsi="仿宋_GB2312" w:eastAsia="仿宋_GB2312" w:cs="仿宋_GB2312"/>
          <w:sz w:val="32"/>
          <w:szCs w:val="32"/>
        </w:rPr>
      </w:pPr>
      <w:r>
        <w:rPr>
          <w:rFonts w:hint="eastAsia" w:ascii="仿宋_GB2312" w:hAnsi="仿宋" w:eastAsia="仿宋_GB2312" w:cs="仿宋"/>
          <w:bCs/>
          <w:sz w:val="28"/>
          <w:szCs w:val="28"/>
          <w:lang w:eastAsia="zh-CN"/>
        </w:rPr>
        <w:t>详</w:t>
      </w:r>
      <w:r>
        <w:rPr>
          <w:rFonts w:hint="eastAsia" w:ascii="仿宋_GB2312" w:hAnsi="仿宋" w:eastAsia="仿宋_GB2312" w:cs="仿宋"/>
          <w:bCs/>
          <w:sz w:val="28"/>
          <w:szCs w:val="28"/>
        </w:rPr>
        <w:t>见附件。</w:t>
      </w:r>
    </w:p>
    <w:p w14:paraId="5B2CA1BF">
      <w:pPr>
        <w:pStyle w:val="2"/>
        <w:numPr>
          <w:ilvl w:val="0"/>
          <w:numId w:val="0"/>
        </w:numPr>
        <w:ind w:firstLine="420" w:firstLineChars="200"/>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94E1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266870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5274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CF56576">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313F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4B12FD0">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2E317B"/>
    <w:rsid w:val="046441B2"/>
    <w:rsid w:val="04C3537C"/>
    <w:rsid w:val="079004AC"/>
    <w:rsid w:val="0AB614DF"/>
    <w:rsid w:val="0BA148CA"/>
    <w:rsid w:val="0C1165C4"/>
    <w:rsid w:val="0D6D544B"/>
    <w:rsid w:val="0DD136FE"/>
    <w:rsid w:val="0F8E2C57"/>
    <w:rsid w:val="1059665E"/>
    <w:rsid w:val="10AC13BA"/>
    <w:rsid w:val="117A3266"/>
    <w:rsid w:val="126637EB"/>
    <w:rsid w:val="139F11B6"/>
    <w:rsid w:val="14147D67"/>
    <w:rsid w:val="145A6C1B"/>
    <w:rsid w:val="14B73493"/>
    <w:rsid w:val="15C03212"/>
    <w:rsid w:val="167A2FF9"/>
    <w:rsid w:val="18581C69"/>
    <w:rsid w:val="1A136006"/>
    <w:rsid w:val="1AC35959"/>
    <w:rsid w:val="1AEC0734"/>
    <w:rsid w:val="1DEF20B0"/>
    <w:rsid w:val="1E831280"/>
    <w:rsid w:val="214243FA"/>
    <w:rsid w:val="21787366"/>
    <w:rsid w:val="21AD613C"/>
    <w:rsid w:val="22467189"/>
    <w:rsid w:val="22DB5B2F"/>
    <w:rsid w:val="234F1C36"/>
    <w:rsid w:val="2474460B"/>
    <w:rsid w:val="24E72FF2"/>
    <w:rsid w:val="24FE6E61"/>
    <w:rsid w:val="257A14F5"/>
    <w:rsid w:val="27196C26"/>
    <w:rsid w:val="280A007E"/>
    <w:rsid w:val="299C2F77"/>
    <w:rsid w:val="29EF086F"/>
    <w:rsid w:val="2B620B9B"/>
    <w:rsid w:val="2BA73B72"/>
    <w:rsid w:val="2C071927"/>
    <w:rsid w:val="2EFFE297"/>
    <w:rsid w:val="2F2EFD4D"/>
    <w:rsid w:val="301437CA"/>
    <w:rsid w:val="32AA5162"/>
    <w:rsid w:val="349D1F0A"/>
    <w:rsid w:val="34DD0473"/>
    <w:rsid w:val="3AF6677C"/>
    <w:rsid w:val="3B812EFB"/>
    <w:rsid w:val="3C684897"/>
    <w:rsid w:val="3D17730C"/>
    <w:rsid w:val="3EFC281D"/>
    <w:rsid w:val="3F5D2695"/>
    <w:rsid w:val="40662A84"/>
    <w:rsid w:val="41635BFC"/>
    <w:rsid w:val="433E495C"/>
    <w:rsid w:val="48247057"/>
    <w:rsid w:val="485B6C46"/>
    <w:rsid w:val="489F2FD7"/>
    <w:rsid w:val="49FB248F"/>
    <w:rsid w:val="4AC27CB3"/>
    <w:rsid w:val="4BF72BEF"/>
    <w:rsid w:val="4D88228C"/>
    <w:rsid w:val="4D95434D"/>
    <w:rsid w:val="4E9E76D4"/>
    <w:rsid w:val="4FA90297"/>
    <w:rsid w:val="4FC41A43"/>
    <w:rsid w:val="505E00C6"/>
    <w:rsid w:val="51DB3C59"/>
    <w:rsid w:val="532A7CF8"/>
    <w:rsid w:val="550C0952"/>
    <w:rsid w:val="55762E42"/>
    <w:rsid w:val="56D3714A"/>
    <w:rsid w:val="57A7B272"/>
    <w:rsid w:val="57C71CB3"/>
    <w:rsid w:val="58470068"/>
    <w:rsid w:val="58747CAC"/>
    <w:rsid w:val="5A1720F9"/>
    <w:rsid w:val="5B9C37C2"/>
    <w:rsid w:val="5BA7C654"/>
    <w:rsid w:val="5BF925A6"/>
    <w:rsid w:val="5EF05EE3"/>
    <w:rsid w:val="5FFE63DD"/>
    <w:rsid w:val="60A54109"/>
    <w:rsid w:val="60DD3C0F"/>
    <w:rsid w:val="61D01CDF"/>
    <w:rsid w:val="64C0607C"/>
    <w:rsid w:val="65756C86"/>
    <w:rsid w:val="65B233A1"/>
    <w:rsid w:val="674D385B"/>
    <w:rsid w:val="676F09E1"/>
    <w:rsid w:val="6C8D2FC3"/>
    <w:rsid w:val="6D594C53"/>
    <w:rsid w:val="6ECF255B"/>
    <w:rsid w:val="6F872D9E"/>
    <w:rsid w:val="71793A80"/>
    <w:rsid w:val="724F1F27"/>
    <w:rsid w:val="72BD7751"/>
    <w:rsid w:val="73375A36"/>
    <w:rsid w:val="7357290B"/>
    <w:rsid w:val="73FF6D76"/>
    <w:rsid w:val="758919A7"/>
    <w:rsid w:val="77183DD1"/>
    <w:rsid w:val="77935205"/>
    <w:rsid w:val="78B611AB"/>
    <w:rsid w:val="798524E4"/>
    <w:rsid w:val="7A7F1C49"/>
    <w:rsid w:val="7B5B7AE6"/>
    <w:rsid w:val="7B7B6628"/>
    <w:rsid w:val="7BA7071E"/>
    <w:rsid w:val="7BDF6DA8"/>
    <w:rsid w:val="7BFF051E"/>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B7DC571"/>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5132.16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ccf30cd-16ef-485f-a728-e3b7f7669a49}"/>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1390.85</c:v>
                </c:pt>
                <c:pt idx="1">
                  <c:v>3604.57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80366ca-a6b4-49c8-a424-78e8a4c8c1e0}"/>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3148</Words>
  <Characters>3496</Characters>
  <Lines>44</Lines>
  <Paragraphs>12</Paragraphs>
  <TotalTime>0</TotalTime>
  <ScaleCrop>false</ScaleCrop>
  <LinksUpToDate>false</LinksUpToDate>
  <CharactersWithSpaces>3515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文文</cp:lastModifiedBy>
  <cp:lastPrinted>2020-08-07T19:39:00Z</cp:lastPrinted>
  <dcterms:modified xsi:type="dcterms:W3CDTF">2025-09-01T03:20:58Z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eyJoZGlkIjoiOTc1NjVlYzcwMzJhYTdlZWVjZjA0NjRjOWRjNmM2MzAiLCJ1c2VySWQiOiIyMzQ2OTUwMjUifQ==</vt:lpwstr>
  </property>
</Properties>
</file>