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228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附件</w:t>
      </w:r>
    </w:p>
    <w:p w14:paraId="3712925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</w:pPr>
    </w:p>
    <w:p w14:paraId="0ED0DCF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首都工匠学院2025年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  <w:highlight w:val="none"/>
        </w:rPr>
        <w:t>古树名木保护</w:t>
      </w:r>
    </w:p>
    <w:p w14:paraId="57BB2B1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领军人才培训实施方案</w:t>
      </w:r>
    </w:p>
    <w:p w14:paraId="7A458AF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</w:pPr>
    </w:p>
    <w:p w14:paraId="2816CA9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  <w:highlight w:val="none"/>
        </w:rPr>
        <w:t>培训目标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</w:t>
      </w:r>
    </w:p>
    <w:p w14:paraId="3FB35F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bidi="ar"/>
        </w:rPr>
        <w:t>通过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开展公益性、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bidi="ar"/>
        </w:rPr>
        <w:t>系统化培训，帮助学员深入理解“三个精神”内涵，熟知《古树名木保护条例》内容，掌握古树名木健康诊断、土壤改良、外伤诊疗、病虫害防治等技术，学会规范操作诊疗仪器设备。培养严谨的科学态度、高度的责任心和生态保护意识，打造德才兼备的古树名木保护高技能人才。</w:t>
      </w:r>
    </w:p>
    <w:p w14:paraId="5120E530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二、培训时间及培训人数</w:t>
      </w:r>
    </w:p>
    <w:p w14:paraId="5F9089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bidi="ar"/>
        </w:rPr>
        <w:t>1.培训时间：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2025年9月15日至9月19日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共计40学时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 w:bidi="ar"/>
        </w:rPr>
        <w:t>。</w:t>
      </w:r>
    </w:p>
    <w:p w14:paraId="1418F1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bidi="ar"/>
        </w:rPr>
        <w:t>2.培训人数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：共计50人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 w:bidi="ar"/>
        </w:rPr>
        <w:t>。</w:t>
      </w:r>
    </w:p>
    <w:p w14:paraId="4E6B2200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三、培训对象</w:t>
      </w:r>
    </w:p>
    <w:p w14:paraId="7CECA83E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由各基层工会选拔推荐的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在园林绿化领域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具有高级工或中级职称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以上的职工；职工创新工作室领军人；市级职业技能大赛参赛选手、京津冀技能大赛参赛选手；在生产研发一线工作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5年及以上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并掌握相关技能的职工；其他在行业（领域）有贡献的高技能人才参加培训。</w:t>
      </w:r>
    </w:p>
    <w:p w14:paraId="629E3742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四、培训内容</w:t>
      </w:r>
    </w:p>
    <w:p w14:paraId="262037AC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tbl>
      <w:tblPr>
        <w:tblStyle w:val="9"/>
        <w:tblW w:w="50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33"/>
        <w:gridCol w:w="2981"/>
        <w:gridCol w:w="1230"/>
        <w:gridCol w:w="987"/>
        <w:gridCol w:w="1181"/>
      </w:tblGrid>
      <w:tr w14:paraId="63A3D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DC1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培训日期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E0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培训时间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8D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授课内容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BA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授课专家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37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课时数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A5C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授课形式</w:t>
            </w:r>
          </w:p>
        </w:tc>
      </w:tr>
      <w:tr w14:paraId="564F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BED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3E2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9:0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71A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“三个精神”解读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96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王建生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4DB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018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理论</w:t>
            </w:r>
          </w:p>
        </w:tc>
      </w:tr>
      <w:tr w14:paraId="2205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073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5B8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13: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0-16: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CA3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古树名木保护条例解读与</w:t>
            </w:r>
          </w:p>
          <w:p w14:paraId="10E5133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树木健康诊疗概论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388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丛日晨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D71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316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理论</w:t>
            </w:r>
          </w:p>
        </w:tc>
      </w:tr>
      <w:tr w14:paraId="0CD34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B4B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143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9:0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4EB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植物与植物生理学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2E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/>
              </w:rPr>
              <w:t>衣彩杰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E59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A36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理论</w:t>
            </w:r>
          </w:p>
        </w:tc>
      </w:tr>
      <w:tr w14:paraId="2319F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62F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699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13: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0-16: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A20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树木学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D20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王永格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C96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084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理论</w:t>
            </w:r>
          </w:p>
        </w:tc>
      </w:tr>
      <w:tr w14:paraId="3D43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E93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A80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9:0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F57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土壤质量要求及相关标准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8E9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王艳春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9B7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34E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理论</w:t>
            </w:r>
          </w:p>
        </w:tc>
      </w:tr>
      <w:tr w14:paraId="24D64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34F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6AE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13: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0-16: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BF3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古树名木土壤取样送检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59B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王艳春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CC8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351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实操</w:t>
            </w:r>
          </w:p>
        </w:tc>
      </w:tr>
      <w:tr w14:paraId="573DE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6B0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DBA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9:0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47F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现场教学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59B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丛日晨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108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475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实操</w:t>
            </w:r>
          </w:p>
        </w:tc>
      </w:tr>
      <w:tr w14:paraId="2D51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71D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9DE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13: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0-16: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DF5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古树名木病虫害防治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ADF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赵洪林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E3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A04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实操</w:t>
            </w:r>
          </w:p>
        </w:tc>
      </w:tr>
      <w:tr w14:paraId="7C4C9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48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D47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9:0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36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古树名木检测常见仪器设备使用技巧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78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巢  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B2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81E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实操</w:t>
            </w:r>
          </w:p>
        </w:tc>
      </w:tr>
      <w:tr w14:paraId="015E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2B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FC5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13: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0-16: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263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座谈交流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EC0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弓清秀</w:t>
            </w:r>
          </w:p>
          <w:p w14:paraId="1626D61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陈晓敏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085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8A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  <w:t>实操</w:t>
            </w:r>
          </w:p>
        </w:tc>
      </w:tr>
    </w:tbl>
    <w:p w14:paraId="6D8AEA6C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五、培训地点</w:t>
      </w:r>
    </w:p>
    <w:p w14:paraId="61510C7E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北京市丰台区草桥欣园四区22号奥运花卉配送中心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。</w:t>
      </w:r>
    </w:p>
    <w:p w14:paraId="7B75F957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建议自驾或乘公共交通前往（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地铁十号线到草桥站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483路、497路、977路、410路、679路、381路、993路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等）。</w:t>
      </w:r>
      <w:r>
        <w:rPr>
          <w:spacing w:val="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1767205</wp:posOffset>
                </wp:positionV>
                <wp:extent cx="1828800" cy="1828800"/>
                <wp:effectExtent l="0" t="0" r="0" b="0"/>
                <wp:wrapNone/>
                <wp:docPr id="179768796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C90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22.2pt;margin-top:139.15pt;height:144pt;width:144pt;mso-wrap-style:none;z-index:251660288;mso-width-relative:page;mso-height-relative:page;" filled="f" stroked="f" coordsize="21600,21600" o:gfxdata="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2BXY9gAAAALAQAADwAAAAAAAAABACAAAAAiAAAAZHJzL2Rvd25yZXYu&#10;eG1sUEsBAhQAFAAAAAgAh07iQPM9Xak0AgAAZQQAAA4AAAAAAAAAAQAgAAAAJwEAAGRycy9lMm9E&#10;b2MueG1sUEsFBgAAAAAGAAYAWQEAAM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85C906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8CFEB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六、授课专家</w:t>
      </w:r>
    </w:p>
    <w:p w14:paraId="113B63F9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1.王建生 北京榜样·京城的哥、北京市劳动模范、全国交通技术能手、全国感动交通年度人物、全国五一劳动奖章获得者、全国十大最美出租汽车司机、全国出租汽车行业抗疫先进驾驶员、荣登2024年第二季度中国好人榜、北京市第十六届人民代表大会代表。</w:t>
      </w:r>
    </w:p>
    <w:p w14:paraId="76D12FBC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OLE_LINK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2.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丛日晨 教授级高级工程师，享受国务院政府特殊津贴专家。全国古树创新联盟（酬）专家组组长，中国风景园林学植物与古树保护专业委员会副主任委员。长期从事园林植物引选育和古树保护研究。发表论文20篇，主编著作4部，获1项国家发明专利及2项实用新型专利。</w:t>
      </w:r>
    </w:p>
    <w:p w14:paraId="0D06B89F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3.衣彩杰 北京市园林绿化科学研究院正高级工程师，主要从事园林植物选育、栽培及景观应用研究，曾参与多个国家林业行业标准及北京市地方标准的制定，多次参加城镇绿地养护检查以及相关项目的绩效评价工作，具有丰富的绿化养护经验。</w:t>
      </w:r>
    </w:p>
    <w:p w14:paraId="71716183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4.王永格 正高级工程师，现任北京市园林绿化科学研究院古树与树木健康研究所首席专家，研究方向为古树名木保护及长寿树种资源收集与栽培应用。主持国家林草局、公园管理中心等课题18项，参加科委等课题17项。以第一作者发表学术论文20余篇，参与编写专业书籍13部。</w:t>
      </w:r>
    </w:p>
    <w:p w14:paraId="59BA11B1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5.王艳春 教授级高级工程师，现任北京市园林绿化科学研究院土壤与水研究所首席专家，兼任园林绿化废弃物利用国家创新联盟理事长、北京土壤学会常务理事、北京农学院硕士导师。主要研究城市土壤、植物营养等内容。获首都劳动奖章、北京市节约用水先进个人等荣誉。</w:t>
      </w:r>
    </w:p>
    <w:p w14:paraId="78776A68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6.赵洪林 教授级高级工程师，曾任北京市大兴区林业保护站党支部书记、站长。长期从事林业保护与生态建设工作，曾获“三北”防护林体系建设工程先进个人、第二届全国“最美森林医生”、北京市农业技术推广一等奖、北京市林业局科技进步奖二等奖多项荣誉。</w:t>
      </w:r>
    </w:p>
    <w:p w14:paraId="4D19FF9C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7.巢阳 北京市园林绿化科学研究院正高级工程师，先后从事月季育种和古树保护研究。主持研发古树无损树龄检测技术，率先在北京市推广“应力波成像”检测树干空腐技术，获国家发明专利、实用新型专利各一项。多年深入开展古树稳定安全、健康水平、周边环境质量等方面评估研究。</w:t>
      </w:r>
    </w:p>
    <w:p w14:paraId="6C53477A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8.弓清秀 正高级工程师，长期从事园林绿化专业技术和管理人员培训、考核、鉴定、评价工作。被北京市委组织部和市人社局联合授予“北京市继续教育管理工作先进集体”等荣誉称号。编著和参与编著多部书籍，发表数篇论文，获中国风景园林学会科技进步二等奖、三等奖各一次。</w:t>
      </w:r>
    </w:p>
    <w:p w14:paraId="6B74895E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七、考核评价</w:t>
      </w:r>
    </w:p>
    <w:p w14:paraId="459EE2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考核分为考勤考核和考试考核。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出勤比率达到80%及以上者考勤考核合格。理论、实操考核均达到60分及以上，评定为考试考核合格。​</w:t>
      </w:r>
    </w:p>
    <w:p w14:paraId="0E0F47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 w:bidi="ar-SA"/>
        </w:rPr>
        <w:t>八、培训取证</w:t>
      </w:r>
    </w:p>
    <w:p w14:paraId="575E0B74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考勤考核与考试考核均合格者，将获得首都工匠学院高技能人才培训班结业证书，并纳入北京市总工会高技能人才库，未来将优先参加首都工匠学院举办的相关技术技能提升培训活动。</w:t>
      </w:r>
    </w:p>
    <w:p w14:paraId="701D89F6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九、注意事项</w:t>
      </w:r>
    </w:p>
    <w:p w14:paraId="3566D57C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1.每个单位限推荐1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名符合条件人员参加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通过登录“技能人才培养网上服务平台”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（https://www.sdzgeservice.cn/talentDevelopment）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，按照系统提示，完成线上报名。</w:t>
      </w:r>
    </w:p>
    <w:p w14:paraId="3386E39A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2.报名材料纸质版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需盖本级工会公章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于报到当天提交到培训工作组。报名材料包括学员报名表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由系统导出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参训学员身份证复印件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正反面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、国家职业资格技能等级证书复印件等。</w:t>
      </w:r>
    </w:p>
    <w:p w14:paraId="18CFA5D2">
      <w:pPr>
        <w:pStyle w:val="13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3.本次培训不收取相关费用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集中培训期间将为学员提供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餐，交通及住宿自理。</w:t>
      </w:r>
    </w:p>
    <w:p w14:paraId="6259D56B">
      <w:pPr>
        <w:pStyle w:val="13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4.报到时间：9月15日8:30。</w:t>
      </w:r>
    </w:p>
    <w:p w14:paraId="6B5EF24E">
      <w:pPr>
        <w:pStyle w:val="13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54B9166F">
      <w:pPr>
        <w:pStyle w:val="13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张震17736710017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陈晓敏13269939689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</w:t>
      </w:r>
    </w:p>
    <w:p w14:paraId="10FE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 xml:space="preserve"> 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6E7F20F5"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 w14:paraId="401699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100"/>
        <w:jc w:val="right"/>
        <w:textAlignment w:val="auto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北京花乡花木集团有限公司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</w:t>
      </w:r>
    </w:p>
    <w:p w14:paraId="410B40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2025年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84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11B980-F7A8-4AF9-9238-1B6D74BA4B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BFC0DF-1F1B-43FC-B6DA-904AADB984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D35E">
    <w:pPr>
      <w:pStyle w:val="6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9665B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9665B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WRhNDZiNTdlOGRmZDA1NDM0MGFiYzY5ZjI1N2UifQ=="/>
  </w:docVars>
  <w:rsids>
    <w:rsidRoot w:val="00317D21"/>
    <w:rsid w:val="00026CB5"/>
    <w:rsid w:val="000522EB"/>
    <w:rsid w:val="000B14F9"/>
    <w:rsid w:val="000D7E9B"/>
    <w:rsid w:val="000E0453"/>
    <w:rsid w:val="00150010"/>
    <w:rsid w:val="001706CC"/>
    <w:rsid w:val="00180932"/>
    <w:rsid w:val="001E2466"/>
    <w:rsid w:val="001F7A09"/>
    <w:rsid w:val="002014F5"/>
    <w:rsid w:val="00227695"/>
    <w:rsid w:val="0027080D"/>
    <w:rsid w:val="00296707"/>
    <w:rsid w:val="002B37B1"/>
    <w:rsid w:val="002F0EC3"/>
    <w:rsid w:val="00317D21"/>
    <w:rsid w:val="003220E5"/>
    <w:rsid w:val="00333D23"/>
    <w:rsid w:val="00377268"/>
    <w:rsid w:val="0038259F"/>
    <w:rsid w:val="003C28DE"/>
    <w:rsid w:val="003D5B71"/>
    <w:rsid w:val="003E401C"/>
    <w:rsid w:val="00456AE3"/>
    <w:rsid w:val="00485D06"/>
    <w:rsid w:val="0050511F"/>
    <w:rsid w:val="00552765"/>
    <w:rsid w:val="00570386"/>
    <w:rsid w:val="005C0D3F"/>
    <w:rsid w:val="005E4711"/>
    <w:rsid w:val="006245C9"/>
    <w:rsid w:val="00637E5D"/>
    <w:rsid w:val="00644635"/>
    <w:rsid w:val="006717E7"/>
    <w:rsid w:val="00736A01"/>
    <w:rsid w:val="00737AE0"/>
    <w:rsid w:val="007C77B7"/>
    <w:rsid w:val="007F7A1E"/>
    <w:rsid w:val="00847529"/>
    <w:rsid w:val="00854CEB"/>
    <w:rsid w:val="0085658D"/>
    <w:rsid w:val="00886481"/>
    <w:rsid w:val="008B2942"/>
    <w:rsid w:val="008C0BC9"/>
    <w:rsid w:val="008C362B"/>
    <w:rsid w:val="009705FB"/>
    <w:rsid w:val="009C42D3"/>
    <w:rsid w:val="009C6BFC"/>
    <w:rsid w:val="00A35D42"/>
    <w:rsid w:val="00A62F5D"/>
    <w:rsid w:val="00A66CC4"/>
    <w:rsid w:val="00B410E7"/>
    <w:rsid w:val="00B81278"/>
    <w:rsid w:val="00BC07AA"/>
    <w:rsid w:val="00C14BB7"/>
    <w:rsid w:val="00CD4ADE"/>
    <w:rsid w:val="00D264C8"/>
    <w:rsid w:val="00D408B1"/>
    <w:rsid w:val="00D521DF"/>
    <w:rsid w:val="00D7581F"/>
    <w:rsid w:val="00D87A36"/>
    <w:rsid w:val="00E16FE2"/>
    <w:rsid w:val="00E73875"/>
    <w:rsid w:val="00F565D2"/>
    <w:rsid w:val="00FA5D2C"/>
    <w:rsid w:val="00FB2698"/>
    <w:rsid w:val="00FC06A4"/>
    <w:rsid w:val="00FD6261"/>
    <w:rsid w:val="00FE498F"/>
    <w:rsid w:val="01062EEC"/>
    <w:rsid w:val="0149295E"/>
    <w:rsid w:val="0179697A"/>
    <w:rsid w:val="02F76F90"/>
    <w:rsid w:val="031A401B"/>
    <w:rsid w:val="03675EC4"/>
    <w:rsid w:val="03F37758"/>
    <w:rsid w:val="04012B21"/>
    <w:rsid w:val="04CA6AC9"/>
    <w:rsid w:val="04E2157A"/>
    <w:rsid w:val="050C2C6B"/>
    <w:rsid w:val="05C96278"/>
    <w:rsid w:val="05D830A9"/>
    <w:rsid w:val="06796A2D"/>
    <w:rsid w:val="06C453DB"/>
    <w:rsid w:val="06CA3771"/>
    <w:rsid w:val="07126147"/>
    <w:rsid w:val="07181F63"/>
    <w:rsid w:val="077C4770"/>
    <w:rsid w:val="07825D59"/>
    <w:rsid w:val="086A1FB2"/>
    <w:rsid w:val="091867F1"/>
    <w:rsid w:val="09C000DC"/>
    <w:rsid w:val="0A3665F0"/>
    <w:rsid w:val="0B753B34"/>
    <w:rsid w:val="0D053271"/>
    <w:rsid w:val="0DE314DC"/>
    <w:rsid w:val="0E140E6A"/>
    <w:rsid w:val="0E732CE7"/>
    <w:rsid w:val="0EA2789F"/>
    <w:rsid w:val="0EF645A0"/>
    <w:rsid w:val="0F227143"/>
    <w:rsid w:val="0F231E64"/>
    <w:rsid w:val="0FA2011E"/>
    <w:rsid w:val="0FA67D74"/>
    <w:rsid w:val="0FED53BE"/>
    <w:rsid w:val="10961B97"/>
    <w:rsid w:val="11156AB1"/>
    <w:rsid w:val="11365128"/>
    <w:rsid w:val="11943BFC"/>
    <w:rsid w:val="11952902"/>
    <w:rsid w:val="11C56BB4"/>
    <w:rsid w:val="12C15B53"/>
    <w:rsid w:val="139E5CCF"/>
    <w:rsid w:val="13BD0B3E"/>
    <w:rsid w:val="13DF5866"/>
    <w:rsid w:val="151D00EA"/>
    <w:rsid w:val="159D39C7"/>
    <w:rsid w:val="15D0334B"/>
    <w:rsid w:val="16254B12"/>
    <w:rsid w:val="163409FD"/>
    <w:rsid w:val="1673362B"/>
    <w:rsid w:val="1687731F"/>
    <w:rsid w:val="16C136E5"/>
    <w:rsid w:val="16E01DBD"/>
    <w:rsid w:val="17CE60BA"/>
    <w:rsid w:val="17E43D88"/>
    <w:rsid w:val="18052221"/>
    <w:rsid w:val="185F4F64"/>
    <w:rsid w:val="189746FE"/>
    <w:rsid w:val="18C809B6"/>
    <w:rsid w:val="18E216F1"/>
    <w:rsid w:val="193A152D"/>
    <w:rsid w:val="1A0B6C88"/>
    <w:rsid w:val="1A424B3D"/>
    <w:rsid w:val="1A9351DB"/>
    <w:rsid w:val="1AB13D5A"/>
    <w:rsid w:val="1ACD2659"/>
    <w:rsid w:val="1AE216BB"/>
    <w:rsid w:val="1B306902"/>
    <w:rsid w:val="1BF41E67"/>
    <w:rsid w:val="1CCB706C"/>
    <w:rsid w:val="1DA82F09"/>
    <w:rsid w:val="1E6257AE"/>
    <w:rsid w:val="1E8243CB"/>
    <w:rsid w:val="1EAB64C0"/>
    <w:rsid w:val="1F1C3919"/>
    <w:rsid w:val="20584394"/>
    <w:rsid w:val="208F03B0"/>
    <w:rsid w:val="20BB2CAB"/>
    <w:rsid w:val="210D0C9A"/>
    <w:rsid w:val="21466CC1"/>
    <w:rsid w:val="217F7880"/>
    <w:rsid w:val="21A87881"/>
    <w:rsid w:val="22460F43"/>
    <w:rsid w:val="233460B3"/>
    <w:rsid w:val="23C11002"/>
    <w:rsid w:val="24D4317A"/>
    <w:rsid w:val="24F84776"/>
    <w:rsid w:val="2536529E"/>
    <w:rsid w:val="25DF5936"/>
    <w:rsid w:val="263F23CC"/>
    <w:rsid w:val="26854C44"/>
    <w:rsid w:val="268575A2"/>
    <w:rsid w:val="26B30D08"/>
    <w:rsid w:val="26DD391D"/>
    <w:rsid w:val="26F6560B"/>
    <w:rsid w:val="270124F0"/>
    <w:rsid w:val="27FA05D9"/>
    <w:rsid w:val="280D35FF"/>
    <w:rsid w:val="28CB1F2E"/>
    <w:rsid w:val="2920429C"/>
    <w:rsid w:val="29233D8C"/>
    <w:rsid w:val="296E3259"/>
    <w:rsid w:val="29806800"/>
    <w:rsid w:val="2A0D0CC4"/>
    <w:rsid w:val="2A1262DA"/>
    <w:rsid w:val="2A4B4492"/>
    <w:rsid w:val="2AF459E0"/>
    <w:rsid w:val="2B01130A"/>
    <w:rsid w:val="2B194036"/>
    <w:rsid w:val="2B4D3342"/>
    <w:rsid w:val="2B6C1A1A"/>
    <w:rsid w:val="2BC901E5"/>
    <w:rsid w:val="2C161986"/>
    <w:rsid w:val="2C412EA7"/>
    <w:rsid w:val="2CB21052"/>
    <w:rsid w:val="2CC66F08"/>
    <w:rsid w:val="2D0F3144"/>
    <w:rsid w:val="2D2C3D05"/>
    <w:rsid w:val="2D6329A9"/>
    <w:rsid w:val="2D967EC2"/>
    <w:rsid w:val="2DFF6B75"/>
    <w:rsid w:val="2E132621"/>
    <w:rsid w:val="2E674331"/>
    <w:rsid w:val="2E7A444E"/>
    <w:rsid w:val="2E801657"/>
    <w:rsid w:val="2E984B00"/>
    <w:rsid w:val="2E9A4AF0"/>
    <w:rsid w:val="2EB33617"/>
    <w:rsid w:val="2EBF5CBD"/>
    <w:rsid w:val="2F1A178D"/>
    <w:rsid w:val="2F7470EF"/>
    <w:rsid w:val="2F9037FD"/>
    <w:rsid w:val="2FA86931"/>
    <w:rsid w:val="30761B12"/>
    <w:rsid w:val="307B625B"/>
    <w:rsid w:val="30D75B88"/>
    <w:rsid w:val="313136FF"/>
    <w:rsid w:val="319B6BB5"/>
    <w:rsid w:val="33114C55"/>
    <w:rsid w:val="332E2F85"/>
    <w:rsid w:val="33515D89"/>
    <w:rsid w:val="336F6A99"/>
    <w:rsid w:val="348F0527"/>
    <w:rsid w:val="3491429F"/>
    <w:rsid w:val="34F07218"/>
    <w:rsid w:val="35243360"/>
    <w:rsid w:val="35563115"/>
    <w:rsid w:val="35731BF7"/>
    <w:rsid w:val="357566C2"/>
    <w:rsid w:val="35773495"/>
    <w:rsid w:val="359D0A22"/>
    <w:rsid w:val="36D6068F"/>
    <w:rsid w:val="37387755"/>
    <w:rsid w:val="37E961A0"/>
    <w:rsid w:val="38213B8C"/>
    <w:rsid w:val="38EF3A6F"/>
    <w:rsid w:val="38FE5C7B"/>
    <w:rsid w:val="396106E4"/>
    <w:rsid w:val="39D733F3"/>
    <w:rsid w:val="39FE5C42"/>
    <w:rsid w:val="3A5B3A0E"/>
    <w:rsid w:val="3B2D7096"/>
    <w:rsid w:val="3B357A81"/>
    <w:rsid w:val="3B5121A0"/>
    <w:rsid w:val="3B58147E"/>
    <w:rsid w:val="3D581D1F"/>
    <w:rsid w:val="3D6E4C9D"/>
    <w:rsid w:val="3E0C4997"/>
    <w:rsid w:val="3E4B3711"/>
    <w:rsid w:val="3E754DC7"/>
    <w:rsid w:val="3E832E5B"/>
    <w:rsid w:val="3EA177D5"/>
    <w:rsid w:val="3EDF6850"/>
    <w:rsid w:val="3EEA2F2A"/>
    <w:rsid w:val="3EF048F8"/>
    <w:rsid w:val="4012098A"/>
    <w:rsid w:val="403F72A5"/>
    <w:rsid w:val="4061546E"/>
    <w:rsid w:val="407E52CE"/>
    <w:rsid w:val="41AA39E8"/>
    <w:rsid w:val="41B426D1"/>
    <w:rsid w:val="41C9151C"/>
    <w:rsid w:val="42772D26"/>
    <w:rsid w:val="430640AA"/>
    <w:rsid w:val="436A63E7"/>
    <w:rsid w:val="43A37B4B"/>
    <w:rsid w:val="43C3013B"/>
    <w:rsid w:val="43C755E8"/>
    <w:rsid w:val="44294241"/>
    <w:rsid w:val="448F0B09"/>
    <w:rsid w:val="44906321"/>
    <w:rsid w:val="44A818BD"/>
    <w:rsid w:val="44AC0A08"/>
    <w:rsid w:val="45232CF2"/>
    <w:rsid w:val="452B429C"/>
    <w:rsid w:val="4647662F"/>
    <w:rsid w:val="46702F06"/>
    <w:rsid w:val="469A0297"/>
    <w:rsid w:val="46CA391A"/>
    <w:rsid w:val="47170634"/>
    <w:rsid w:val="471843AC"/>
    <w:rsid w:val="477041E8"/>
    <w:rsid w:val="47BD49EC"/>
    <w:rsid w:val="48AF58A4"/>
    <w:rsid w:val="48BF604E"/>
    <w:rsid w:val="49140E4A"/>
    <w:rsid w:val="4A5D3B7F"/>
    <w:rsid w:val="4AA642D2"/>
    <w:rsid w:val="4AD8457E"/>
    <w:rsid w:val="4B8464B4"/>
    <w:rsid w:val="4BEB02E1"/>
    <w:rsid w:val="4C453E95"/>
    <w:rsid w:val="4C8D6112"/>
    <w:rsid w:val="4D0F1DAD"/>
    <w:rsid w:val="4DAB7D28"/>
    <w:rsid w:val="4E676282"/>
    <w:rsid w:val="4E880069"/>
    <w:rsid w:val="4F6A2704"/>
    <w:rsid w:val="4FFA6D45"/>
    <w:rsid w:val="507D3D1D"/>
    <w:rsid w:val="50B909AE"/>
    <w:rsid w:val="51A11B6E"/>
    <w:rsid w:val="524F7E77"/>
    <w:rsid w:val="52653114"/>
    <w:rsid w:val="526B5CD8"/>
    <w:rsid w:val="52794E1A"/>
    <w:rsid w:val="52DE46FC"/>
    <w:rsid w:val="54646E83"/>
    <w:rsid w:val="54DC5F38"/>
    <w:rsid w:val="54EB3CD0"/>
    <w:rsid w:val="5543118E"/>
    <w:rsid w:val="5558730C"/>
    <w:rsid w:val="55733ABC"/>
    <w:rsid w:val="55A27C63"/>
    <w:rsid w:val="55C05B3D"/>
    <w:rsid w:val="56BA5480"/>
    <w:rsid w:val="57001794"/>
    <w:rsid w:val="57064221"/>
    <w:rsid w:val="573A3ECB"/>
    <w:rsid w:val="57590883"/>
    <w:rsid w:val="578800EF"/>
    <w:rsid w:val="580C3AB9"/>
    <w:rsid w:val="58B8581B"/>
    <w:rsid w:val="59303909"/>
    <w:rsid w:val="59CF0866"/>
    <w:rsid w:val="59EA1BD8"/>
    <w:rsid w:val="5AA04289"/>
    <w:rsid w:val="5B452A95"/>
    <w:rsid w:val="5B8A5421"/>
    <w:rsid w:val="5BEA2363"/>
    <w:rsid w:val="5C0E6052"/>
    <w:rsid w:val="5C292E8C"/>
    <w:rsid w:val="5C537F09"/>
    <w:rsid w:val="5C69538A"/>
    <w:rsid w:val="5D096819"/>
    <w:rsid w:val="5FC133DB"/>
    <w:rsid w:val="609D79A4"/>
    <w:rsid w:val="60D86C2E"/>
    <w:rsid w:val="60FB291D"/>
    <w:rsid w:val="621A5025"/>
    <w:rsid w:val="62546696"/>
    <w:rsid w:val="62893109"/>
    <w:rsid w:val="62B66AFB"/>
    <w:rsid w:val="63E44EBF"/>
    <w:rsid w:val="641A33C9"/>
    <w:rsid w:val="64CE2822"/>
    <w:rsid w:val="656A070C"/>
    <w:rsid w:val="656B1A72"/>
    <w:rsid w:val="659816D8"/>
    <w:rsid w:val="65B37C68"/>
    <w:rsid w:val="660B715E"/>
    <w:rsid w:val="661029AB"/>
    <w:rsid w:val="681037C7"/>
    <w:rsid w:val="683706DE"/>
    <w:rsid w:val="686413B2"/>
    <w:rsid w:val="690A5DF3"/>
    <w:rsid w:val="690A7BA1"/>
    <w:rsid w:val="696A6892"/>
    <w:rsid w:val="69F82DD5"/>
    <w:rsid w:val="6ABB3D00"/>
    <w:rsid w:val="6B105EB6"/>
    <w:rsid w:val="6B2D69E6"/>
    <w:rsid w:val="6BF568E6"/>
    <w:rsid w:val="6C136D6D"/>
    <w:rsid w:val="6C200CFB"/>
    <w:rsid w:val="6CB00A5F"/>
    <w:rsid w:val="6D396CA7"/>
    <w:rsid w:val="6D5C4743"/>
    <w:rsid w:val="6D6C15A7"/>
    <w:rsid w:val="6D9E4D5C"/>
    <w:rsid w:val="6E932B2B"/>
    <w:rsid w:val="6ED43FE2"/>
    <w:rsid w:val="6F405C47"/>
    <w:rsid w:val="6FA77955"/>
    <w:rsid w:val="6FBB7E47"/>
    <w:rsid w:val="6FEA18FC"/>
    <w:rsid w:val="702459EC"/>
    <w:rsid w:val="713E625B"/>
    <w:rsid w:val="723B701D"/>
    <w:rsid w:val="730E028E"/>
    <w:rsid w:val="73403821"/>
    <w:rsid w:val="73A806E2"/>
    <w:rsid w:val="73B22403"/>
    <w:rsid w:val="7458681A"/>
    <w:rsid w:val="74B9560C"/>
    <w:rsid w:val="74CD2829"/>
    <w:rsid w:val="74E64233"/>
    <w:rsid w:val="750C7615"/>
    <w:rsid w:val="76530DD9"/>
    <w:rsid w:val="765F6AE6"/>
    <w:rsid w:val="767A2588"/>
    <w:rsid w:val="771976F5"/>
    <w:rsid w:val="77620752"/>
    <w:rsid w:val="778422CE"/>
    <w:rsid w:val="77AE3DED"/>
    <w:rsid w:val="78830EC5"/>
    <w:rsid w:val="788C1F6C"/>
    <w:rsid w:val="79116D2A"/>
    <w:rsid w:val="7A461828"/>
    <w:rsid w:val="7A666C01"/>
    <w:rsid w:val="7A8D418E"/>
    <w:rsid w:val="7AF37E57"/>
    <w:rsid w:val="7B2406E4"/>
    <w:rsid w:val="7BCE7A18"/>
    <w:rsid w:val="7C06091A"/>
    <w:rsid w:val="7C3E7AD3"/>
    <w:rsid w:val="7C8E2FEA"/>
    <w:rsid w:val="7C8E50F0"/>
    <w:rsid w:val="7D3F583D"/>
    <w:rsid w:val="7D6C2781"/>
    <w:rsid w:val="7EFC7B34"/>
    <w:rsid w:val="7EFD149B"/>
    <w:rsid w:val="7F6851CA"/>
    <w:rsid w:val="7FCE14D1"/>
    <w:rsid w:val="7FD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cs="方正仿宋_GB2312" w:asciiTheme="minorAscii" w:hAnsiTheme="minorAscii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next w:val="3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2238</Words>
  <Characters>2505</Characters>
  <Lines>48</Lines>
  <Paragraphs>47</Paragraphs>
  <TotalTime>2</TotalTime>
  <ScaleCrop>false</ScaleCrop>
  <LinksUpToDate>false</LinksUpToDate>
  <CharactersWithSpaces>2597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2024-09-20T02:47:00Z</dcterms:created>
  <dc:creator>Lenovo</dc:creator>
  <cp:lastModifiedBy>待定中……</cp:lastModifiedBy>
  <cp:lastPrinted>2025-07-16T02:34:00Z</cp:lastPrinted>
  <dcterms:modified xsi:type="dcterms:W3CDTF">2025-08-21T07:35:15Z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84810415C0F64427B791FB367CD10B8D_13</vt:lpwstr>
  </property>
  <property fmtid="{D5CDD505-2E9C-101B-9397-08002B2CF9AE}" pid="4" name="KSOTemplateDocerSaveRecord">
    <vt:lpwstr>eyJoZGlkIjoiM2M5MTNhMzBkNWM4NjZjMmI3ZGZjMDRkYTdlZmY2NzMiLCJ1c2VySWQiOiIxNDk2NzE3ODg3In0=</vt:lpwstr>
  </property>
</Properties>
</file>