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黑体" w:hAnsi="黑体" w:eastAsia="黑体"/>
          <w:sz w:val="32"/>
          <w:szCs w:val="32"/>
        </w:rPr>
      </w:pPr>
      <w:r>
        <w:rPr>
          <w:rFonts w:hint="eastAsia" w:ascii="黑体" w:hAnsi="黑体" w:eastAsia="黑体"/>
          <w:sz w:val="32"/>
          <w:szCs w:val="32"/>
        </w:rPr>
        <w:t>附件3</w:t>
      </w:r>
    </w:p>
    <w:p>
      <w:pPr>
        <w:spacing w:line="560" w:lineRule="exact"/>
        <w:jc w:val="center"/>
        <w:rPr>
          <w:rFonts w:hint="eastAsia" w:ascii="方正小标宋简体" w:eastAsia="方正小标宋简体" w:cs="Times New Roman"/>
          <w:sz w:val="44"/>
          <w:szCs w:val="44"/>
          <w:lang w:eastAsia="zh-CN"/>
        </w:rPr>
      </w:pPr>
      <w:r>
        <w:rPr>
          <w:rFonts w:hint="eastAsia" w:ascii="方正小标宋简体" w:hAnsi="方正小标宋简体" w:eastAsia="方正小标宋简体" w:cs="方正小标宋简体"/>
          <w:sz w:val="44"/>
          <w:szCs w:val="44"/>
          <w:lang w:eastAsia="zh-CN"/>
        </w:rPr>
        <w:t>首都示范性工匠学院</w:t>
      </w:r>
    </w:p>
    <w:p>
      <w:pPr>
        <w:spacing w:line="560" w:lineRule="exact"/>
        <w:jc w:val="center"/>
        <w:rPr>
          <w:rFonts w:ascii="方正小标宋简体" w:eastAsia="方正小标宋简体" w:cs="Times New Roman"/>
          <w:sz w:val="44"/>
          <w:szCs w:val="44"/>
        </w:rPr>
      </w:pPr>
      <w:r>
        <w:rPr>
          <w:rFonts w:hint="eastAsia" w:ascii="方正小标宋简体" w:eastAsia="方正小标宋简体" w:cs="Times New Roman"/>
          <w:sz w:val="44"/>
          <w:szCs w:val="44"/>
        </w:rPr>
        <w:t>2025年职工读书活动申报和实施指南</w:t>
      </w:r>
    </w:p>
    <w:p>
      <w:pPr>
        <w:spacing w:line="560" w:lineRule="exact"/>
        <w:ind w:firstLine="640" w:firstLineChars="200"/>
        <w:rPr>
          <w:rFonts w:ascii="仿宋_GB2312" w:eastAsia="仿宋_GB2312" w:cs="Times New Roman"/>
          <w:color w:val="000000"/>
          <w:sz w:val="32"/>
          <w:szCs w:val="32"/>
        </w:rPr>
      </w:pPr>
    </w:p>
    <w:p>
      <w:pPr>
        <w:spacing w:line="560" w:lineRule="exact"/>
        <w:ind w:firstLine="640" w:firstLineChars="200"/>
        <w:rPr>
          <w:rFonts w:ascii="黑体" w:hAnsi="黑体" w:eastAsia="黑体" w:cs="仿宋"/>
          <w:color w:val="000000"/>
          <w:sz w:val="32"/>
          <w:szCs w:val="32"/>
        </w:rPr>
      </w:pPr>
      <w:r>
        <w:rPr>
          <w:rFonts w:hint="eastAsia" w:ascii="仿宋_GB2312" w:eastAsia="仿宋_GB2312" w:cs="Times New Roman"/>
          <w:color w:val="000000"/>
          <w:sz w:val="32"/>
          <w:szCs w:val="32"/>
        </w:rPr>
        <w:t>职工读书活动</w:t>
      </w:r>
      <w:r>
        <w:rPr>
          <w:rFonts w:hint="eastAsia" w:ascii="仿宋_GB2312" w:hAnsi="仿宋_GB2312" w:eastAsia="仿宋_GB2312" w:cs="仿宋_GB2312"/>
          <w:sz w:val="32"/>
          <w:szCs w:val="32"/>
        </w:rPr>
        <w:t>是</w:t>
      </w:r>
      <w:r>
        <w:rPr>
          <w:rFonts w:hint="eastAsia" w:ascii="仿宋_GB2312" w:hAnsi="仿宋_GB2312" w:eastAsia="仿宋_GB2312" w:cs="仿宋_GB2312"/>
          <w:sz w:val="32"/>
          <w:szCs w:val="32"/>
          <w:lang w:eastAsia="zh-CN"/>
        </w:rPr>
        <w:t>首都示范性工匠学院</w:t>
      </w:r>
      <w:r>
        <w:rPr>
          <w:rFonts w:hint="eastAsia" w:ascii="仿宋_GB2312" w:hAnsi="仿宋_GB2312" w:eastAsia="仿宋_GB2312" w:cs="仿宋_GB2312"/>
          <w:sz w:val="32"/>
          <w:szCs w:val="32"/>
        </w:rPr>
        <w:t>（北京市总工会职工大学）（以下简称“职工大学”）服务职工的阅读品牌项目，是落实市总工会创新打造“</w:t>
      </w:r>
      <w:r>
        <w:rPr>
          <w:rFonts w:ascii="仿宋_GB2312" w:hAnsi="仿宋_GB2312" w:eastAsia="仿宋_GB2312" w:cs="仿宋_GB2312"/>
          <w:sz w:val="32"/>
          <w:szCs w:val="32"/>
        </w:rPr>
        <w:t>北京工人大思政课</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实施方案的</w:t>
      </w:r>
      <w:r>
        <w:rPr>
          <w:rFonts w:hint="eastAsia" w:ascii="仿宋_GB2312" w:hAnsi="仿宋_GB2312" w:eastAsia="仿宋_GB2312" w:cs="仿宋_GB2312"/>
          <w:sz w:val="32"/>
          <w:szCs w:val="32"/>
        </w:rPr>
        <w:t>有效途径，</w:t>
      </w:r>
      <w:r>
        <w:rPr>
          <w:rFonts w:hint="eastAsia" w:ascii="仿宋_GB2312" w:hAnsi="仿宋" w:eastAsia="仿宋_GB2312"/>
          <w:sz w:val="32"/>
          <w:szCs w:val="32"/>
        </w:rPr>
        <w:t>是深化首都产业工人队伍建设改革的有力抓手</w:t>
      </w:r>
      <w:r>
        <w:rPr>
          <w:rFonts w:hint="eastAsia" w:ascii="仿宋_GB2312" w:hAnsi="仿宋_GB2312" w:eastAsia="仿宋_GB2312" w:cs="仿宋_GB2312"/>
          <w:sz w:val="32"/>
          <w:szCs w:val="32"/>
        </w:rPr>
        <w:t>。通过职工讲师、职工匠师有主题、有课程的阅读分享，团结引导广大职工群众听党话、跟党走。</w:t>
      </w:r>
      <w:r>
        <w:rPr>
          <w:rFonts w:hint="eastAsia" w:ascii="仿宋_GB2312" w:hAnsi="仿宋" w:eastAsia="仿宋_GB2312"/>
          <w:sz w:val="32"/>
          <w:szCs w:val="32"/>
        </w:rPr>
        <w:t>2025年，职工大学通过“带师带课”方式，</w:t>
      </w:r>
      <w:r>
        <w:rPr>
          <w:rFonts w:hint="eastAsia" w:ascii="仿宋_GB2312" w:eastAsia="仿宋_GB2312" w:cs="Times New Roman"/>
          <w:color w:val="000000"/>
          <w:sz w:val="32"/>
          <w:szCs w:val="32"/>
        </w:rPr>
        <w:t>协助各单位开展职工读书活动</w:t>
      </w:r>
      <w:r>
        <w:rPr>
          <w:rFonts w:hint="eastAsia" w:ascii="仿宋_GB2312" w:hAnsi="仿宋" w:eastAsia="仿宋_GB2312"/>
          <w:bCs/>
          <w:sz w:val="32"/>
          <w:szCs w:val="32"/>
        </w:rPr>
        <w:t>。</w:t>
      </w:r>
      <w:r>
        <w:rPr>
          <w:rFonts w:hint="eastAsia" w:ascii="仿宋_GB2312" w:hAnsi="仿宋_GB2312" w:eastAsia="仿宋_GB2312" w:cs="仿宋_GB2312"/>
          <w:sz w:val="32"/>
          <w:szCs w:val="32"/>
        </w:rPr>
        <w:t>申报和实施事项如下。</w:t>
      </w:r>
    </w:p>
    <w:p>
      <w:pPr>
        <w:spacing w:line="560" w:lineRule="exact"/>
        <w:ind w:firstLine="640" w:firstLineChars="200"/>
        <w:rPr>
          <w:rFonts w:ascii="楷体_GB2312" w:hAnsi="仿宋" w:eastAsia="楷体_GB2312" w:cs="Times New Roman"/>
          <w:sz w:val="32"/>
          <w:szCs w:val="32"/>
        </w:rPr>
      </w:pPr>
      <w:r>
        <w:rPr>
          <w:rFonts w:hint="eastAsia" w:ascii="黑体" w:hAnsi="黑体" w:eastAsia="黑体" w:cs="仿宋"/>
          <w:color w:val="000000"/>
          <w:sz w:val="32"/>
          <w:szCs w:val="32"/>
        </w:rPr>
        <w:t>一、申报条件及时间</w:t>
      </w:r>
    </w:p>
    <w:p>
      <w:pPr>
        <w:widowControl w:val="0"/>
        <w:spacing w:line="560" w:lineRule="exact"/>
        <w:ind w:firstLine="640" w:firstLineChars="200"/>
        <w:jc w:val="both"/>
        <w:rPr>
          <w:rFonts w:ascii="仿宋_GB2312" w:hAnsi="仿宋" w:eastAsia="仿宋_GB2312"/>
          <w:sz w:val="32"/>
          <w:szCs w:val="32"/>
        </w:rPr>
      </w:pPr>
      <w:r>
        <w:rPr>
          <w:rFonts w:hint="eastAsia" w:ascii="楷体_GB2312" w:hAnsi="仿宋" w:eastAsia="楷体_GB2312"/>
          <w:sz w:val="32"/>
          <w:szCs w:val="32"/>
        </w:rPr>
        <w:t>（一）</w:t>
      </w:r>
      <w:r>
        <w:rPr>
          <w:rFonts w:hint="eastAsia" w:ascii="仿宋_GB2312" w:hAnsi="仿宋" w:eastAsia="仿宋_GB2312"/>
          <w:sz w:val="32"/>
          <w:szCs w:val="32"/>
        </w:rPr>
        <w:t>各单位可结合所属行业、区域和职工的需求申报职工</w:t>
      </w:r>
      <w:r>
        <w:rPr>
          <w:rFonts w:hint="eastAsia" w:ascii="仿宋_GB2312" w:hAnsi="仿宋" w:eastAsia="仿宋_GB2312"/>
          <w:bCs/>
          <w:sz w:val="32"/>
          <w:szCs w:val="32"/>
        </w:rPr>
        <w:t>读书活动</w:t>
      </w:r>
      <w:r>
        <w:rPr>
          <w:rFonts w:hint="eastAsia" w:ascii="仿宋_GB2312" w:hAnsi="仿宋" w:eastAsia="仿宋_GB2312"/>
          <w:sz w:val="32"/>
          <w:szCs w:val="32"/>
        </w:rPr>
        <w:t>；每家单位申报不超过2场。</w:t>
      </w:r>
    </w:p>
    <w:p>
      <w:pPr>
        <w:widowControl w:val="0"/>
        <w:spacing w:line="560" w:lineRule="exact"/>
        <w:ind w:firstLine="640" w:firstLineChars="200"/>
        <w:jc w:val="both"/>
        <w:rPr>
          <w:rFonts w:ascii="仿宋_GB2312" w:hAnsi="仿宋" w:eastAsia="仿宋_GB2312"/>
          <w:sz w:val="32"/>
          <w:szCs w:val="32"/>
        </w:rPr>
      </w:pPr>
      <w:r>
        <w:rPr>
          <w:rFonts w:hint="eastAsia" w:ascii="楷体_GB2312" w:hAnsi="仿宋" w:eastAsia="楷体_GB2312"/>
          <w:sz w:val="32"/>
          <w:szCs w:val="32"/>
        </w:rPr>
        <w:t>（二）</w:t>
      </w:r>
      <w:r>
        <w:rPr>
          <w:rFonts w:hint="eastAsia" w:ascii="仿宋_GB2312" w:hAnsi="仿宋" w:eastAsia="仿宋_GB2312"/>
          <w:sz w:val="32"/>
          <w:szCs w:val="32"/>
        </w:rPr>
        <w:t>首都职工教育培训示范点，新就业形态领域劳动者，北京大工匠、劳动模范、创新工作室领军人所在单位优先。</w:t>
      </w:r>
    </w:p>
    <w:p>
      <w:pPr>
        <w:spacing w:line="560" w:lineRule="exact"/>
        <w:ind w:firstLine="640" w:firstLineChars="200"/>
        <w:jc w:val="both"/>
        <w:rPr>
          <w:rFonts w:ascii="仿宋_GB2312" w:eastAsia="仿宋_GB2312" w:cs="Times New Roman" w:hAnsiTheme="minorEastAsia"/>
          <w:color w:val="000000"/>
          <w:sz w:val="32"/>
          <w:szCs w:val="32"/>
        </w:rPr>
      </w:pPr>
      <w:r>
        <w:rPr>
          <w:rFonts w:hint="eastAsia" w:ascii="楷体_GB2312" w:hAnsi="仿宋" w:eastAsia="楷体_GB2312"/>
          <w:sz w:val="32"/>
          <w:szCs w:val="32"/>
        </w:rPr>
        <w:t>（三）</w:t>
      </w:r>
      <w:r>
        <w:rPr>
          <w:rFonts w:hint="eastAsia" w:ascii="仿宋_GB2312" w:eastAsia="仿宋_GB2312" w:cs="Times New Roman" w:hAnsiTheme="minorEastAsia"/>
          <w:color w:val="000000"/>
          <w:sz w:val="32"/>
          <w:szCs w:val="32"/>
        </w:rPr>
        <w:t>全年举办职工读书活动40场，每场时间不少于</w:t>
      </w:r>
      <w:r>
        <w:rPr>
          <w:rFonts w:hint="eastAsia" w:ascii="仿宋_GB2312" w:eastAsia="仿宋_GB2312" w:cs="Times New Roman" w:hAnsiTheme="minorEastAsia"/>
          <w:b/>
          <w:color w:val="000000"/>
          <w:sz w:val="32"/>
          <w:szCs w:val="32"/>
        </w:rPr>
        <w:t>3学时</w:t>
      </w:r>
      <w:r>
        <w:rPr>
          <w:rFonts w:hint="eastAsia" w:ascii="仿宋_GB2312" w:eastAsia="仿宋_GB2312" w:cs="Times New Roman" w:hAnsiTheme="minorEastAsia"/>
          <w:color w:val="000000"/>
          <w:sz w:val="32"/>
          <w:szCs w:val="32"/>
        </w:rPr>
        <w:t>，参加人员不少于25人。</w:t>
      </w:r>
    </w:p>
    <w:p>
      <w:pPr>
        <w:spacing w:line="560" w:lineRule="exact"/>
        <w:ind w:firstLine="640" w:firstLineChars="200"/>
        <w:jc w:val="both"/>
        <w:rPr>
          <w:rFonts w:ascii="仿宋_GB2312" w:hAnsi="仿宋" w:eastAsia="仿宋_GB2312"/>
          <w:sz w:val="32"/>
          <w:szCs w:val="32"/>
        </w:rPr>
      </w:pPr>
      <w:r>
        <w:rPr>
          <w:rFonts w:hint="eastAsia" w:ascii="楷体_GB2312" w:hAnsi="仿宋" w:eastAsia="楷体_GB2312"/>
          <w:sz w:val="32"/>
          <w:szCs w:val="32"/>
        </w:rPr>
        <w:t>（四）</w:t>
      </w:r>
      <w:r>
        <w:rPr>
          <w:rFonts w:hint="eastAsia" w:ascii="仿宋_GB2312" w:hAnsi="仿宋" w:eastAsia="仿宋_GB2312"/>
          <w:bCs/>
          <w:sz w:val="32"/>
          <w:szCs w:val="32"/>
        </w:rPr>
        <w:t>请各单位提前申报,申报时间</w:t>
      </w:r>
      <w:r>
        <w:rPr>
          <w:rFonts w:hint="eastAsia" w:ascii="仿宋_GB2312" w:hAnsi="仿宋" w:eastAsia="仿宋_GB2312"/>
          <w:b/>
          <w:sz w:val="32"/>
          <w:szCs w:val="32"/>
        </w:rPr>
        <w:t>截至6月30日</w:t>
      </w:r>
      <w:r>
        <w:rPr>
          <w:rFonts w:hint="eastAsia" w:ascii="仿宋_GB2312" w:hAnsi="仿宋" w:eastAsia="仿宋_GB2312"/>
          <w:bCs/>
          <w:sz w:val="32"/>
          <w:szCs w:val="32"/>
        </w:rPr>
        <w:t>；按时</w:t>
      </w:r>
      <w:r>
        <w:rPr>
          <w:rFonts w:hint="eastAsia" w:ascii="仿宋_GB2312" w:hAnsi="仿宋" w:eastAsia="仿宋_GB2312"/>
          <w:sz w:val="32"/>
          <w:szCs w:val="32"/>
        </w:rPr>
        <w:t>举办，</w:t>
      </w:r>
      <w:r>
        <w:rPr>
          <w:rFonts w:hint="eastAsia" w:ascii="仿宋_GB2312" w:hAnsi="仿宋" w:eastAsia="仿宋_GB2312"/>
          <w:bCs/>
          <w:sz w:val="32"/>
          <w:szCs w:val="32"/>
        </w:rPr>
        <w:t>举办时间</w:t>
      </w:r>
      <w:r>
        <w:rPr>
          <w:rFonts w:hint="eastAsia" w:ascii="仿宋_GB2312" w:hAnsi="仿宋" w:eastAsia="仿宋_GB2312"/>
          <w:b/>
          <w:bCs/>
          <w:sz w:val="32"/>
          <w:szCs w:val="32"/>
        </w:rPr>
        <w:t>截至10月31日</w:t>
      </w:r>
      <w:r>
        <w:rPr>
          <w:rFonts w:hint="eastAsia" w:ascii="仿宋_GB2312" w:hAnsi="仿宋" w:eastAsia="仿宋_GB2312"/>
          <w:sz w:val="32"/>
          <w:szCs w:val="32"/>
        </w:rPr>
        <w:t>。</w:t>
      </w:r>
    </w:p>
    <w:p>
      <w:pPr>
        <w:spacing w:line="560" w:lineRule="exact"/>
        <w:ind w:firstLine="640" w:firstLineChars="200"/>
        <w:jc w:val="both"/>
        <w:rPr>
          <w:rFonts w:ascii="仿宋_GB2312" w:hAnsi="仿宋" w:eastAsia="仿宋_GB2312"/>
          <w:sz w:val="32"/>
          <w:szCs w:val="32"/>
        </w:rPr>
      </w:pPr>
      <w:r>
        <w:rPr>
          <w:rFonts w:hint="eastAsia" w:ascii="楷体_GB2312" w:hAnsi="仿宋" w:eastAsia="楷体_GB2312"/>
          <w:sz w:val="32"/>
          <w:szCs w:val="32"/>
        </w:rPr>
        <w:t>（五）请</w:t>
      </w:r>
      <w:r>
        <w:rPr>
          <w:rFonts w:hint="eastAsia" w:ascii="仿宋_GB2312" w:eastAsia="仿宋_GB2312" w:cs="Times New Roman"/>
          <w:color w:val="000000"/>
          <w:sz w:val="32"/>
          <w:szCs w:val="32"/>
        </w:rPr>
        <w:t>各单位从《</w:t>
      </w:r>
      <w:r>
        <w:rPr>
          <w:rFonts w:hint="eastAsia" w:ascii="仿宋_GB2312" w:eastAsia="仿宋_GB2312" w:cs="Times New Roman"/>
          <w:color w:val="000000"/>
          <w:sz w:val="32"/>
          <w:szCs w:val="32"/>
          <w:lang w:eastAsia="zh-CN"/>
        </w:rPr>
        <w:t>首都示范性工匠学院</w:t>
      </w:r>
      <w:r>
        <w:rPr>
          <w:rFonts w:hint="eastAsia" w:ascii="仿宋_GB2312" w:eastAsia="仿宋_GB2312" w:cs="Times New Roman"/>
          <w:color w:val="000000"/>
          <w:sz w:val="32"/>
          <w:szCs w:val="32"/>
        </w:rPr>
        <w:t>2025年职工读书活动课程菜单》（附表</w:t>
      </w:r>
      <w:r>
        <w:rPr>
          <w:rFonts w:ascii="仿宋_GB2312" w:eastAsia="仿宋_GB2312" w:cs="Times New Roman"/>
          <w:color w:val="000000"/>
          <w:sz w:val="32"/>
          <w:szCs w:val="32"/>
        </w:rPr>
        <w:t>1</w:t>
      </w:r>
      <w:r>
        <w:rPr>
          <w:rFonts w:hint="eastAsia" w:ascii="仿宋_GB2312" w:eastAsia="仿宋_GB2312" w:cs="Times New Roman"/>
          <w:color w:val="000000"/>
          <w:sz w:val="32"/>
          <w:szCs w:val="32"/>
        </w:rPr>
        <w:t>）中，选择课程和主题进行</w:t>
      </w:r>
      <w:r>
        <w:rPr>
          <w:rFonts w:hint="eastAsia" w:ascii="仿宋_GB2312" w:hAnsi="仿宋" w:eastAsia="仿宋_GB2312"/>
          <w:sz w:val="32"/>
          <w:szCs w:val="32"/>
        </w:rPr>
        <w:t>；后续更新课程菜单见职工大学官网。</w:t>
      </w:r>
    </w:p>
    <w:p>
      <w:pPr>
        <w:spacing w:line="560" w:lineRule="exact"/>
        <w:ind w:firstLine="640" w:firstLineChars="200"/>
        <w:rPr>
          <w:rFonts w:ascii="黑体" w:hAnsi="黑体" w:eastAsia="黑体" w:cs="仿宋"/>
          <w:color w:val="000000"/>
          <w:sz w:val="32"/>
          <w:szCs w:val="32"/>
        </w:rPr>
      </w:pPr>
      <w:r>
        <w:rPr>
          <w:rFonts w:hint="eastAsia" w:ascii="黑体" w:hAnsi="黑体" w:eastAsia="黑体" w:cs="仿宋"/>
          <w:color w:val="000000"/>
          <w:sz w:val="32"/>
          <w:szCs w:val="32"/>
        </w:rPr>
        <w:t>二、实施流程及项目要求</w:t>
      </w:r>
    </w:p>
    <w:p>
      <w:pPr>
        <w:spacing w:line="560" w:lineRule="exact"/>
        <w:ind w:firstLine="640" w:firstLineChars="200"/>
        <w:jc w:val="both"/>
        <w:rPr>
          <w:rFonts w:ascii="仿宋_GB2312" w:hAnsi="楷体" w:eastAsia="仿宋_GB2312" w:cs="仿宋"/>
          <w:color w:val="000000"/>
          <w:sz w:val="32"/>
          <w:szCs w:val="32"/>
        </w:rPr>
      </w:pPr>
      <w:r>
        <w:rPr>
          <w:rFonts w:hint="eastAsia" w:ascii="楷体_GB2312" w:hAnsi="仿宋" w:eastAsia="楷体_GB2312"/>
          <w:sz w:val="32"/>
          <w:szCs w:val="32"/>
        </w:rPr>
        <w:t>（一）</w:t>
      </w:r>
      <w:r>
        <w:rPr>
          <w:rFonts w:hint="eastAsia" w:ascii="仿宋_GB2312" w:hAnsi="楷体" w:eastAsia="仿宋_GB2312" w:cs="仿宋"/>
          <w:color w:val="000000"/>
          <w:sz w:val="32"/>
          <w:szCs w:val="32"/>
        </w:rPr>
        <w:t>基本工作流程</w:t>
      </w:r>
    </w:p>
    <w:p>
      <w:pPr>
        <w:spacing w:line="56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各单位填写</w:t>
      </w:r>
      <w:r>
        <w:rPr>
          <w:rFonts w:hint="eastAsia" w:ascii="仿宋_GB2312" w:hAnsi="仿宋" w:eastAsia="仿宋_GB2312" w:cs="仿宋"/>
          <w:color w:val="000000"/>
          <w:sz w:val="32"/>
          <w:szCs w:val="32"/>
        </w:rPr>
        <w:t>《</w:t>
      </w:r>
      <w:r>
        <w:rPr>
          <w:rFonts w:hint="eastAsia" w:ascii="仿宋_GB2312" w:eastAsia="仿宋_GB2312" w:cs="Times New Roman"/>
          <w:color w:val="000000"/>
          <w:sz w:val="32"/>
          <w:szCs w:val="32"/>
          <w:lang w:eastAsia="zh-CN"/>
        </w:rPr>
        <w:t>首都示范性工匠学院</w:t>
      </w:r>
      <w:r>
        <w:rPr>
          <w:rFonts w:hint="eastAsia" w:ascii="仿宋_GB2312" w:eastAsia="仿宋_GB2312" w:cs="Times New Roman"/>
          <w:color w:val="000000"/>
          <w:sz w:val="32"/>
          <w:szCs w:val="32"/>
        </w:rPr>
        <w:t>2025</w:t>
      </w:r>
      <w:r>
        <w:rPr>
          <w:rFonts w:hint="eastAsia" w:ascii="仿宋_GB2312" w:hAnsi="仿宋" w:eastAsia="仿宋_GB2312" w:cs="仿宋"/>
          <w:color w:val="000000"/>
          <w:sz w:val="32"/>
          <w:szCs w:val="32"/>
        </w:rPr>
        <w:t>职工读书活动申报表》（附表</w:t>
      </w:r>
      <w:r>
        <w:rPr>
          <w:rFonts w:ascii="仿宋_GB2312" w:hAnsi="仿宋" w:eastAsia="仿宋_GB2312" w:cs="仿宋"/>
          <w:color w:val="000000"/>
          <w:sz w:val="32"/>
          <w:szCs w:val="32"/>
        </w:rPr>
        <w:t>2</w:t>
      </w:r>
      <w:r>
        <w:rPr>
          <w:rFonts w:hint="eastAsia" w:ascii="仿宋_GB2312" w:hAnsi="仿宋" w:eastAsia="仿宋_GB2312" w:cs="仿宋"/>
          <w:color w:val="000000"/>
          <w:sz w:val="32"/>
          <w:szCs w:val="32"/>
        </w:rPr>
        <w:t>）</w:t>
      </w:r>
      <w:r>
        <w:rPr>
          <w:rFonts w:hint="eastAsia" w:ascii="仿宋_GB2312" w:hAnsi="仿宋" w:eastAsia="仿宋_GB2312"/>
          <w:sz w:val="32"/>
          <w:szCs w:val="32"/>
        </w:rPr>
        <w:t>，将申报表电子版发送至指定邮箱，纸质版依照申报表要求签字盖章后寄送至职工大学。</w:t>
      </w:r>
    </w:p>
    <w:p>
      <w:pPr>
        <w:spacing w:line="56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经职工大学审批后，各单位按照申报</w:t>
      </w:r>
      <w:r>
        <w:rPr>
          <w:rFonts w:ascii="仿宋_GB2312" w:hAnsi="仿宋" w:eastAsia="仿宋_GB2312"/>
          <w:sz w:val="32"/>
          <w:szCs w:val="32"/>
        </w:rPr>
        <w:t>和</w:t>
      </w:r>
      <w:r>
        <w:rPr>
          <w:rFonts w:hint="eastAsia" w:ascii="仿宋_GB2312" w:hAnsi="仿宋" w:eastAsia="仿宋_GB2312"/>
          <w:sz w:val="32"/>
          <w:szCs w:val="32"/>
        </w:rPr>
        <w:t>实施指南要求开展活动。</w:t>
      </w:r>
    </w:p>
    <w:p>
      <w:pPr>
        <w:spacing w:line="560" w:lineRule="exact"/>
        <w:ind w:firstLine="640" w:firstLineChars="200"/>
        <w:jc w:val="both"/>
        <w:rPr>
          <w:rFonts w:ascii="仿宋_GB2312" w:hAnsi="楷体" w:eastAsia="仿宋_GB2312" w:cs="仿宋"/>
          <w:color w:val="000000"/>
          <w:sz w:val="32"/>
          <w:szCs w:val="32"/>
        </w:rPr>
      </w:pPr>
      <w:r>
        <w:rPr>
          <w:rFonts w:hint="eastAsia" w:ascii="楷体_GB2312" w:hAnsi="仿宋" w:eastAsia="楷体_GB2312"/>
          <w:sz w:val="32"/>
          <w:szCs w:val="32"/>
        </w:rPr>
        <w:t>（二</w:t>
      </w:r>
      <w:r>
        <w:rPr>
          <w:rFonts w:ascii="楷体_GB2312" w:hAnsi="仿宋" w:eastAsia="楷体_GB2312"/>
          <w:sz w:val="32"/>
          <w:szCs w:val="32"/>
        </w:rPr>
        <w:t>）</w:t>
      </w:r>
      <w:r>
        <w:rPr>
          <w:rFonts w:hint="eastAsia" w:ascii="仿宋_GB2312" w:hAnsi="楷体" w:eastAsia="仿宋_GB2312" w:cs="仿宋"/>
          <w:color w:val="000000"/>
          <w:sz w:val="32"/>
          <w:szCs w:val="32"/>
        </w:rPr>
        <w:t>项目材料</w:t>
      </w:r>
    </w:p>
    <w:p>
      <w:pPr>
        <w:spacing w:line="560" w:lineRule="exact"/>
        <w:ind w:firstLine="640" w:firstLineChars="200"/>
        <w:rPr>
          <w:rFonts w:ascii="仿宋_GB2312" w:eastAsia="仿宋_GB2312" w:cs="Times New Roman"/>
          <w:color w:val="000000"/>
          <w:sz w:val="32"/>
          <w:szCs w:val="32"/>
        </w:rPr>
      </w:pPr>
      <w:r>
        <w:rPr>
          <w:rFonts w:hint="eastAsia" w:ascii="仿宋_GB2312" w:hAnsi="仿宋" w:eastAsia="仿宋_GB2312"/>
          <w:sz w:val="32"/>
          <w:szCs w:val="32"/>
        </w:rPr>
        <w:t>各单位应在项目结束后</w:t>
      </w:r>
      <w:r>
        <w:rPr>
          <w:rFonts w:hint="eastAsia" w:ascii="仿宋_GB2312" w:hAnsi="仿宋" w:eastAsia="仿宋_GB2312"/>
          <w:b/>
          <w:bCs/>
          <w:sz w:val="32"/>
          <w:szCs w:val="32"/>
        </w:rPr>
        <w:t>两周内</w:t>
      </w:r>
      <w:r>
        <w:rPr>
          <w:rFonts w:hint="eastAsia" w:ascii="仿宋_GB2312" w:hAnsi="仿宋" w:eastAsia="仿宋_GB2312"/>
          <w:sz w:val="32"/>
          <w:szCs w:val="32"/>
        </w:rPr>
        <w:t>上报项目材料电子版和纸质版，材料包括：</w:t>
      </w:r>
    </w:p>
    <w:p>
      <w:pPr>
        <w:spacing w:line="560" w:lineRule="exact"/>
        <w:ind w:firstLine="643" w:firstLineChars="200"/>
        <w:rPr>
          <w:rFonts w:ascii="仿宋_GB2312" w:hAnsi="仿宋" w:eastAsia="仿宋_GB2312" w:cs="仿宋_GB2312"/>
          <w:color w:val="000000"/>
          <w:sz w:val="32"/>
          <w:szCs w:val="32"/>
        </w:rPr>
      </w:pPr>
      <w:r>
        <w:rPr>
          <w:rFonts w:hint="eastAsia" w:ascii="仿宋_GB2312" w:hAnsi="仿宋" w:eastAsia="仿宋_GB2312" w:cs="仿宋"/>
          <w:b/>
          <w:color w:val="000000"/>
          <w:sz w:val="32"/>
          <w:szCs w:val="32"/>
        </w:rPr>
        <w:t>（1）</w:t>
      </w:r>
      <w:r>
        <w:rPr>
          <w:rFonts w:hint="eastAsia" w:ascii="仿宋_GB2312" w:hAnsi="仿宋" w:eastAsia="仿宋_GB2312" w:cs="仿宋_GB2312"/>
          <w:sz w:val="32"/>
          <w:szCs w:val="32"/>
        </w:rPr>
        <w:t>《</w:t>
      </w:r>
      <w:r>
        <w:rPr>
          <w:rFonts w:hint="eastAsia" w:ascii="仿宋_GB2312" w:eastAsia="仿宋_GB2312" w:cs="Times New Roman"/>
          <w:color w:val="000000"/>
          <w:sz w:val="32"/>
          <w:szCs w:val="32"/>
          <w:lang w:eastAsia="zh-CN"/>
        </w:rPr>
        <w:t>首都示范性工匠学院</w:t>
      </w:r>
      <w:r>
        <w:rPr>
          <w:rFonts w:hint="eastAsia" w:ascii="仿宋_GB2312" w:eastAsia="仿宋_GB2312" w:cs="Times New Roman"/>
          <w:color w:val="000000"/>
          <w:sz w:val="32"/>
          <w:szCs w:val="32"/>
        </w:rPr>
        <w:t>2025年</w:t>
      </w:r>
      <w:r>
        <w:rPr>
          <w:rFonts w:hint="eastAsia" w:ascii="仿宋_GB2312" w:hAnsi="仿宋" w:eastAsia="仿宋_GB2312" w:cs="仿宋_GB2312"/>
          <w:sz w:val="32"/>
          <w:szCs w:val="32"/>
        </w:rPr>
        <w:t>职工读书活动签到表》</w:t>
      </w:r>
      <w:r>
        <w:rPr>
          <w:rFonts w:hint="eastAsia" w:ascii="仿宋_GB2312" w:hAnsi="仿宋" w:eastAsia="仿宋_GB2312" w:cs="仿宋_GB2312"/>
          <w:color w:val="000000" w:themeColor="text1"/>
          <w:sz w:val="32"/>
          <w:szCs w:val="32"/>
        </w:rPr>
        <w:t>（附表</w:t>
      </w:r>
      <w:r>
        <w:rPr>
          <w:rFonts w:ascii="仿宋_GB2312" w:hAnsi="仿宋" w:eastAsia="仿宋_GB2312" w:cs="仿宋_GB2312"/>
          <w:color w:val="000000" w:themeColor="text1"/>
          <w:sz w:val="32"/>
          <w:szCs w:val="32"/>
        </w:rPr>
        <w:t>3</w:t>
      </w:r>
      <w:r>
        <w:rPr>
          <w:rFonts w:hint="eastAsia" w:ascii="仿宋_GB2312" w:hAnsi="仿宋" w:eastAsia="仿宋_GB2312" w:cs="仿宋_GB2312"/>
          <w:color w:val="000000" w:themeColor="text1"/>
          <w:sz w:val="32"/>
          <w:szCs w:val="32"/>
        </w:rPr>
        <w:t>，</w:t>
      </w:r>
      <w:r>
        <w:rPr>
          <w:rFonts w:hint="eastAsia" w:ascii="仿宋_GB2312" w:hAnsi="仿宋" w:eastAsia="仿宋_GB2312" w:cs="仿宋_GB2312"/>
          <w:bCs/>
          <w:color w:val="000000" w:themeColor="text1"/>
          <w:sz w:val="32"/>
          <w:szCs w:val="32"/>
        </w:rPr>
        <w:t>盖章</w:t>
      </w:r>
      <w:r>
        <w:rPr>
          <w:rFonts w:hint="eastAsia" w:ascii="仿宋_GB2312" w:hAnsi="仿宋" w:eastAsia="仿宋_GB2312" w:cs="仿宋_GB2312"/>
          <w:color w:val="000000" w:themeColor="text1"/>
          <w:sz w:val="32"/>
          <w:szCs w:val="32"/>
        </w:rPr>
        <w:t>）</w:t>
      </w:r>
      <w:r>
        <w:rPr>
          <w:rFonts w:hint="eastAsia" w:ascii="仿宋_GB2312" w:eastAsia="仿宋_GB2312"/>
          <w:color w:val="000000" w:themeColor="text1"/>
          <w:sz w:val="32"/>
          <w:szCs w:val="32"/>
        </w:rPr>
        <w:t>；</w:t>
      </w:r>
    </w:p>
    <w:p>
      <w:pPr>
        <w:tabs>
          <w:tab w:val="left" w:pos="312"/>
        </w:tabs>
        <w:spacing w:line="560" w:lineRule="exact"/>
        <w:ind w:firstLine="643" w:firstLineChars="200"/>
        <w:rPr>
          <w:rFonts w:ascii="仿宋_GB2312" w:eastAsia="仿宋_GB2312" w:cs="Times New Roman"/>
          <w:color w:val="000000"/>
          <w:sz w:val="32"/>
          <w:szCs w:val="32"/>
        </w:rPr>
      </w:pPr>
      <w:r>
        <w:rPr>
          <w:rFonts w:hint="eastAsia" w:ascii="仿宋_GB2312" w:hAnsi="仿宋" w:eastAsia="仿宋_GB2312" w:cs="仿宋"/>
          <w:b/>
          <w:color w:val="000000" w:themeColor="text1"/>
          <w:sz w:val="32"/>
          <w:szCs w:val="32"/>
        </w:rPr>
        <w:t>（2）</w:t>
      </w:r>
      <w:r>
        <w:rPr>
          <w:rFonts w:hint="eastAsia" w:ascii="仿宋_GB2312" w:eastAsia="仿宋_GB2312" w:cs="Times New Roman"/>
          <w:color w:val="000000"/>
          <w:sz w:val="32"/>
          <w:szCs w:val="32"/>
        </w:rPr>
        <w:t>《</w:t>
      </w:r>
      <w:r>
        <w:rPr>
          <w:rFonts w:hint="eastAsia" w:ascii="仿宋_GB2312" w:eastAsia="仿宋_GB2312" w:cs="Times New Roman"/>
          <w:color w:val="000000"/>
          <w:sz w:val="32"/>
          <w:szCs w:val="32"/>
          <w:lang w:eastAsia="zh-CN"/>
        </w:rPr>
        <w:t>首都示范性工匠学院</w:t>
      </w:r>
      <w:r>
        <w:rPr>
          <w:rFonts w:hint="eastAsia" w:ascii="仿宋_GB2312" w:eastAsia="仿宋_GB2312" w:cs="Times New Roman"/>
          <w:color w:val="000000"/>
          <w:sz w:val="32"/>
          <w:szCs w:val="32"/>
        </w:rPr>
        <w:t>2025年职工读书活动评价表》（附表</w:t>
      </w:r>
      <w:r>
        <w:rPr>
          <w:rFonts w:ascii="仿宋_GB2312" w:eastAsia="仿宋_GB2312" w:cs="Times New Roman"/>
          <w:color w:val="000000"/>
          <w:sz w:val="32"/>
          <w:szCs w:val="32"/>
        </w:rPr>
        <w:t>4</w:t>
      </w:r>
      <w:r>
        <w:rPr>
          <w:rFonts w:hint="eastAsia" w:ascii="仿宋_GB2312" w:eastAsia="仿宋_GB2312" w:cs="Times New Roman"/>
          <w:color w:val="000000"/>
          <w:sz w:val="32"/>
          <w:szCs w:val="32"/>
        </w:rPr>
        <w:t>，盖章）</w:t>
      </w:r>
      <w:r>
        <w:rPr>
          <w:rFonts w:hint="eastAsia" w:ascii="仿宋_GB2312" w:hAnsi="仿宋" w:eastAsia="仿宋_GB2312"/>
          <w:sz w:val="32"/>
          <w:szCs w:val="32"/>
        </w:rPr>
        <w:t>；</w:t>
      </w:r>
      <w:r>
        <w:rPr>
          <w:rFonts w:hint="eastAsia" w:ascii="仿宋_GB2312" w:hAnsi="仿宋" w:eastAsia="仿宋_GB2312" w:cs="仿宋_GB2312"/>
          <w:sz w:val="32"/>
          <w:szCs w:val="32"/>
        </w:rPr>
        <w:t>各培训组织单位也可组织全体参与学员手机扫描二维码填写教学评价问卷，问卷二维码开班前提供。</w:t>
      </w:r>
    </w:p>
    <w:p>
      <w:pPr>
        <w:spacing w:line="560" w:lineRule="exact"/>
        <w:ind w:firstLine="633" w:firstLineChars="198"/>
        <w:rPr>
          <w:rFonts w:ascii="黑体" w:hAnsi="黑体" w:eastAsia="黑体"/>
          <w:sz w:val="32"/>
          <w:szCs w:val="32"/>
        </w:rPr>
      </w:pPr>
      <w:r>
        <w:rPr>
          <w:rFonts w:hint="eastAsia" w:ascii="黑体" w:hAnsi="黑体" w:eastAsia="黑体"/>
          <w:sz w:val="32"/>
          <w:szCs w:val="32"/>
        </w:rPr>
        <w:t>三、资金支付</w:t>
      </w:r>
    </w:p>
    <w:p>
      <w:pPr>
        <w:spacing w:line="560" w:lineRule="exact"/>
        <w:ind w:firstLine="640" w:firstLineChars="200"/>
        <w:jc w:val="both"/>
        <w:rPr>
          <w:rFonts w:ascii="仿宋_GB2312" w:hAnsi="仿宋" w:eastAsia="仿宋_GB2312"/>
          <w:sz w:val="32"/>
          <w:szCs w:val="32"/>
        </w:rPr>
      </w:pPr>
      <w:r>
        <w:rPr>
          <w:rFonts w:hint="eastAsia" w:ascii="楷体_GB2312" w:hAnsi="仿宋" w:eastAsia="楷体_GB2312"/>
          <w:sz w:val="32"/>
          <w:szCs w:val="32"/>
        </w:rPr>
        <w:t>（一）</w:t>
      </w:r>
      <w:r>
        <w:rPr>
          <w:rFonts w:hint="eastAsia" w:ascii="仿宋_GB2312" w:hAnsi="仿宋" w:eastAsia="仿宋_GB2312"/>
          <w:sz w:val="32"/>
          <w:szCs w:val="32"/>
        </w:rPr>
        <w:t>各单位需按要求提交相关结项材料。</w:t>
      </w:r>
    </w:p>
    <w:p>
      <w:pPr>
        <w:spacing w:line="560" w:lineRule="exact"/>
        <w:ind w:firstLine="640" w:firstLineChars="200"/>
        <w:jc w:val="both"/>
        <w:rPr>
          <w:rFonts w:ascii="楷体_GB2312" w:hAnsi="仿宋" w:eastAsia="楷体_GB2312" w:cs="Times New Roman"/>
          <w:sz w:val="32"/>
          <w:szCs w:val="32"/>
        </w:rPr>
      </w:pPr>
      <w:r>
        <w:rPr>
          <w:rFonts w:hint="eastAsia" w:ascii="楷体_GB2312" w:hAnsi="仿宋" w:eastAsia="楷体_GB2312"/>
          <w:sz w:val="32"/>
          <w:szCs w:val="32"/>
        </w:rPr>
        <w:t>（二）</w:t>
      </w:r>
      <w:r>
        <w:rPr>
          <w:rFonts w:hint="eastAsia" w:ascii="仿宋_GB2312" w:hAnsi="仿宋" w:eastAsia="仿宋_GB2312"/>
          <w:sz w:val="32"/>
          <w:szCs w:val="32"/>
        </w:rPr>
        <w:t>项目材料审核通过后，由职工大学按照相关要求支付</w:t>
      </w:r>
      <w:r>
        <w:rPr>
          <w:rFonts w:hint="eastAsia" w:ascii="仿宋_GB2312" w:hAnsi="仿宋" w:eastAsia="仿宋_GB2312"/>
          <w:bCs/>
          <w:sz w:val="32"/>
          <w:szCs w:val="32"/>
        </w:rPr>
        <w:t>教师讲课费。</w:t>
      </w:r>
    </w:p>
    <w:p>
      <w:pPr>
        <w:spacing w:line="560" w:lineRule="exact"/>
        <w:ind w:firstLine="640" w:firstLineChars="200"/>
        <w:rPr>
          <w:rFonts w:ascii="黑体" w:eastAsia="黑体" w:cs="仿宋"/>
          <w:color w:val="000000"/>
          <w:sz w:val="32"/>
          <w:szCs w:val="32"/>
        </w:rPr>
      </w:pPr>
      <w:r>
        <w:rPr>
          <w:rFonts w:hint="eastAsia" w:ascii="黑体" w:hAnsi="黑体" w:eastAsia="黑体" w:cs="宋体-18030"/>
          <w:sz w:val="32"/>
          <w:szCs w:val="32"/>
        </w:rPr>
        <w:t>四</w:t>
      </w:r>
      <w:r>
        <w:rPr>
          <w:rFonts w:hint="eastAsia" w:ascii="黑体" w:eastAsia="黑体" w:cs="仿宋"/>
          <w:color w:val="000000"/>
          <w:sz w:val="32"/>
          <w:szCs w:val="32"/>
        </w:rPr>
        <w:t>、联系方式</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地  址：西城区陶然亭路53号北京市总工会职工大学</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联系人：徐老师</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联系电话：63550049</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电子邮箱：</w:t>
      </w:r>
      <w:r>
        <w:rPr>
          <w:rFonts w:ascii="仿宋_GB2312" w:hAnsi="仿宋" w:eastAsia="仿宋_GB2312" w:cs="仿宋"/>
          <w:sz w:val="32"/>
          <w:szCs w:val="32"/>
        </w:rPr>
        <w:t>Dushu@ghgy.com.cn</w:t>
      </w:r>
    </w:p>
    <w:p>
      <w:pPr>
        <w:spacing w:line="560" w:lineRule="exact"/>
        <w:ind w:firstLine="640" w:firstLineChars="200"/>
        <w:rPr>
          <w:rFonts w:ascii="仿宋_GB2312" w:hAnsi="仿宋" w:eastAsia="仿宋_GB2312" w:cs="仿宋"/>
          <w:sz w:val="32"/>
          <w:szCs w:val="32"/>
        </w:rPr>
      </w:pPr>
    </w:p>
    <w:p>
      <w:pPr>
        <w:spacing w:line="560" w:lineRule="exact"/>
        <w:ind w:firstLine="640" w:firstLineChars="200"/>
        <w:rPr>
          <w:rFonts w:ascii="仿宋_GB2312" w:eastAsia="仿宋_GB2312" w:cs="Times New Roman"/>
          <w:sz w:val="32"/>
          <w:szCs w:val="32"/>
        </w:rPr>
      </w:pPr>
      <w:bookmarkStart w:id="0" w:name="_Hlk81180702"/>
      <w:bookmarkStart w:id="1" w:name="OLE_LINK1"/>
    </w:p>
    <w:p>
      <w:pPr>
        <w:spacing w:line="560" w:lineRule="exact"/>
        <w:ind w:firstLine="640" w:firstLineChars="200"/>
        <w:rPr>
          <w:rFonts w:ascii="仿宋_GB2312" w:eastAsia="仿宋_GB2312" w:cs="Times New Roman"/>
          <w:sz w:val="32"/>
          <w:szCs w:val="32"/>
        </w:rPr>
      </w:pPr>
    </w:p>
    <w:p>
      <w:pPr>
        <w:pStyle w:val="6"/>
        <w:adjustRightInd w:val="0"/>
        <w:snapToGrid w:val="0"/>
        <w:spacing w:before="0" w:beforeAutospacing="0" w:after="0" w:afterAutospacing="0" w:line="560" w:lineRule="exact"/>
        <w:ind w:right="1303"/>
        <w:rPr>
          <w:rFonts w:ascii="黑体" w:hAnsi="黑体" w:eastAsia="黑体"/>
          <w:sz w:val="32"/>
          <w:szCs w:val="32"/>
          <w:highlight w:val="yellow"/>
        </w:rPr>
      </w:pPr>
    </w:p>
    <w:p>
      <w:pPr>
        <w:pStyle w:val="6"/>
        <w:adjustRightInd w:val="0"/>
        <w:snapToGrid w:val="0"/>
        <w:spacing w:before="0" w:beforeAutospacing="0" w:after="0" w:afterAutospacing="0" w:line="560" w:lineRule="exact"/>
        <w:ind w:right="1303"/>
        <w:rPr>
          <w:rFonts w:ascii="黑体" w:hAnsi="黑体" w:eastAsia="黑体"/>
          <w:sz w:val="32"/>
          <w:szCs w:val="32"/>
          <w:highlight w:val="yellow"/>
        </w:rPr>
      </w:pPr>
    </w:p>
    <w:p>
      <w:pPr>
        <w:pStyle w:val="6"/>
        <w:adjustRightInd w:val="0"/>
        <w:snapToGrid w:val="0"/>
        <w:spacing w:before="0" w:beforeAutospacing="0" w:after="0" w:afterAutospacing="0" w:line="560" w:lineRule="exact"/>
        <w:ind w:right="1303"/>
        <w:rPr>
          <w:rFonts w:ascii="黑体" w:hAnsi="黑体" w:eastAsia="黑体"/>
          <w:sz w:val="32"/>
          <w:szCs w:val="32"/>
          <w:highlight w:val="yellow"/>
        </w:rPr>
      </w:pPr>
    </w:p>
    <w:p>
      <w:pPr>
        <w:pStyle w:val="6"/>
        <w:adjustRightInd w:val="0"/>
        <w:snapToGrid w:val="0"/>
        <w:spacing w:before="0" w:beforeAutospacing="0" w:after="0" w:afterAutospacing="0" w:line="560" w:lineRule="exact"/>
        <w:ind w:right="1303"/>
        <w:rPr>
          <w:rFonts w:ascii="黑体" w:hAnsi="黑体" w:eastAsia="黑体"/>
          <w:sz w:val="32"/>
          <w:szCs w:val="32"/>
          <w:highlight w:val="yellow"/>
        </w:rPr>
      </w:pPr>
    </w:p>
    <w:p>
      <w:pPr>
        <w:pStyle w:val="6"/>
        <w:adjustRightInd w:val="0"/>
        <w:snapToGrid w:val="0"/>
        <w:spacing w:before="0" w:beforeAutospacing="0" w:after="0" w:afterAutospacing="0" w:line="560" w:lineRule="exact"/>
        <w:ind w:right="1303"/>
        <w:rPr>
          <w:rFonts w:ascii="黑体" w:hAnsi="黑体" w:eastAsia="黑体"/>
          <w:sz w:val="32"/>
          <w:szCs w:val="32"/>
          <w:highlight w:val="yellow"/>
        </w:rPr>
      </w:pPr>
    </w:p>
    <w:p>
      <w:pPr>
        <w:pStyle w:val="6"/>
        <w:adjustRightInd w:val="0"/>
        <w:snapToGrid w:val="0"/>
        <w:spacing w:before="0" w:beforeAutospacing="0" w:after="0" w:afterAutospacing="0" w:line="560" w:lineRule="exact"/>
        <w:ind w:right="1303"/>
        <w:rPr>
          <w:rFonts w:ascii="黑体" w:hAnsi="黑体" w:eastAsia="黑体"/>
          <w:sz w:val="32"/>
          <w:szCs w:val="32"/>
          <w:highlight w:val="yellow"/>
        </w:rPr>
        <w:sectPr>
          <w:footerReference r:id="rId3" w:type="default"/>
          <w:pgSz w:w="11906" w:h="16838"/>
          <w:pgMar w:top="2098" w:right="1474" w:bottom="1985" w:left="1588" w:header="851" w:footer="992" w:gutter="0"/>
          <w:cols w:space="425" w:num="1"/>
          <w:docGrid w:type="lines" w:linePitch="326" w:charSpace="0"/>
        </w:sectPr>
      </w:pPr>
      <w:bookmarkStart w:id="4" w:name="_GoBack"/>
      <w:bookmarkEnd w:id="4"/>
    </w:p>
    <w:p>
      <w:pPr>
        <w:pStyle w:val="6"/>
        <w:adjustRightInd w:val="0"/>
        <w:snapToGrid w:val="0"/>
        <w:spacing w:before="0" w:beforeAutospacing="0" w:after="0" w:afterAutospacing="0" w:line="560" w:lineRule="exact"/>
        <w:ind w:right="1303"/>
        <w:jc w:val="both"/>
        <w:rPr>
          <w:rFonts w:ascii="方正小标宋简体" w:eastAsia="方正小标宋简体"/>
          <w:sz w:val="36"/>
          <w:szCs w:val="36"/>
        </w:rPr>
      </w:pPr>
      <w:r>
        <w:rPr>
          <w:rFonts w:hint="eastAsia" w:ascii="黑体" w:hAnsi="黑体" w:eastAsia="黑体"/>
          <w:sz w:val="32"/>
          <w:szCs w:val="32"/>
        </w:rPr>
        <w:t>附表</w:t>
      </w:r>
      <w:r>
        <w:rPr>
          <w:rFonts w:ascii="黑体" w:hAnsi="黑体" w:eastAsia="黑体"/>
          <w:sz w:val="32"/>
          <w:szCs w:val="32"/>
        </w:rPr>
        <w:t>1</w:t>
      </w:r>
      <w:r>
        <w:rPr>
          <w:rFonts w:hint="eastAsia" w:ascii="黑体" w:hAnsi="黑体" w:eastAsia="黑体"/>
          <w:sz w:val="32"/>
          <w:szCs w:val="32"/>
        </w:rPr>
        <w:t xml:space="preserve"> </w:t>
      </w:r>
      <w:r>
        <w:rPr>
          <w:rFonts w:ascii="方正小标宋简体" w:eastAsia="方正小标宋简体"/>
          <w:sz w:val="36"/>
          <w:szCs w:val="36"/>
        </w:rPr>
        <w:t xml:space="preserve"> </w:t>
      </w:r>
    </w:p>
    <w:p>
      <w:pPr>
        <w:pStyle w:val="6"/>
        <w:adjustRightInd w:val="0"/>
        <w:snapToGrid w:val="0"/>
        <w:spacing w:before="0" w:beforeAutospacing="0" w:after="0" w:afterAutospacing="0" w:line="560" w:lineRule="exact"/>
        <w:ind w:right="1303"/>
        <w:jc w:val="center"/>
        <w:rPr>
          <w:rFonts w:ascii="方正小标宋简体" w:eastAsia="方正小标宋简体"/>
          <w:sz w:val="36"/>
          <w:szCs w:val="36"/>
        </w:rPr>
      </w:pPr>
      <w:r>
        <w:rPr>
          <w:rFonts w:hint="eastAsia" w:ascii="方正小标宋简体" w:eastAsia="方正小标宋简体"/>
          <w:sz w:val="36"/>
          <w:szCs w:val="36"/>
          <w:lang w:eastAsia="zh-CN"/>
        </w:rPr>
        <w:t>首都示范性工匠学院</w:t>
      </w:r>
      <w:r>
        <w:rPr>
          <w:rFonts w:ascii="方正小标宋简体" w:eastAsia="方正小标宋简体"/>
          <w:sz w:val="36"/>
          <w:szCs w:val="36"/>
        </w:rPr>
        <w:t>202</w:t>
      </w:r>
      <w:r>
        <w:rPr>
          <w:rFonts w:hint="eastAsia" w:ascii="方正小标宋简体" w:eastAsia="方正小标宋简体"/>
          <w:sz w:val="36"/>
          <w:szCs w:val="36"/>
        </w:rPr>
        <w:t>5</w:t>
      </w:r>
      <w:r>
        <w:rPr>
          <w:rFonts w:ascii="方正小标宋简体" w:eastAsia="方正小标宋简体"/>
          <w:sz w:val="36"/>
          <w:szCs w:val="36"/>
        </w:rPr>
        <w:t>年职工读书活动课程菜单</w:t>
      </w:r>
    </w:p>
    <w:tbl>
      <w:tblPr>
        <w:tblStyle w:val="7"/>
        <w:tblpPr w:leftFromText="180" w:rightFromText="180" w:vertAnchor="text" w:horzAnchor="page" w:tblpX="1155" w:tblpY="606"/>
        <w:tblOverlap w:val="never"/>
        <w:tblW w:w="14927" w:type="dxa"/>
        <w:tblInd w:w="0" w:type="dxa"/>
        <w:tblLayout w:type="autofit"/>
        <w:tblCellMar>
          <w:top w:w="0" w:type="dxa"/>
          <w:left w:w="108" w:type="dxa"/>
          <w:bottom w:w="0" w:type="dxa"/>
          <w:right w:w="108" w:type="dxa"/>
        </w:tblCellMar>
      </w:tblPr>
      <w:tblGrid>
        <w:gridCol w:w="707"/>
        <w:gridCol w:w="1513"/>
        <w:gridCol w:w="3020"/>
        <w:gridCol w:w="3007"/>
        <w:gridCol w:w="6680"/>
      </w:tblGrid>
      <w:tr>
        <w:tblPrEx>
          <w:tblCellMar>
            <w:top w:w="0" w:type="dxa"/>
            <w:left w:w="108" w:type="dxa"/>
            <w:bottom w:w="0" w:type="dxa"/>
            <w:right w:w="108" w:type="dxa"/>
          </w:tblCellMar>
        </w:tblPrEx>
        <w:trPr>
          <w:trHeight w:val="747"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黑体" w:eastAsia="黑体" w:cs="黑体"/>
                <w:b/>
                <w:bCs/>
                <w:color w:val="000000"/>
              </w:rPr>
            </w:pPr>
            <w:r>
              <w:rPr>
                <w:rFonts w:hint="eastAsia" w:ascii="黑体" w:hAnsi="黑体" w:eastAsia="黑体" w:cs="黑体"/>
                <w:b/>
                <w:bCs/>
                <w:color w:val="000000"/>
              </w:rPr>
              <w:t>序号</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黑体" w:eastAsia="黑体" w:cs="黑体"/>
                <w:b/>
                <w:bCs/>
                <w:color w:val="000000"/>
              </w:rPr>
            </w:pPr>
            <w:r>
              <w:rPr>
                <w:rFonts w:hint="eastAsia" w:ascii="黑体" w:hAnsi="黑体" w:eastAsia="黑体" w:cs="黑体"/>
                <w:b/>
                <w:bCs/>
                <w:color w:val="000000"/>
              </w:rPr>
              <w:t>课程名称</w:t>
            </w:r>
          </w:p>
        </w:tc>
        <w:tc>
          <w:tcPr>
            <w:tcW w:w="3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黑体" w:eastAsia="黑体" w:cs="黑体"/>
                <w:b/>
                <w:bCs/>
                <w:color w:val="000000"/>
              </w:rPr>
            </w:pPr>
            <w:r>
              <w:rPr>
                <w:rFonts w:hint="eastAsia" w:ascii="黑体" w:hAnsi="黑体" w:eastAsia="黑体" w:cs="黑体"/>
                <w:b/>
                <w:bCs/>
                <w:color w:val="000000"/>
              </w:rPr>
              <w:t>师资</w:t>
            </w:r>
          </w:p>
        </w:tc>
        <w:tc>
          <w:tcPr>
            <w:tcW w:w="30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黑体" w:eastAsia="黑体" w:cs="黑体"/>
                <w:b/>
                <w:bCs/>
                <w:color w:val="000000"/>
              </w:rPr>
            </w:pPr>
            <w:r>
              <w:rPr>
                <w:rFonts w:hint="eastAsia" w:ascii="黑体" w:hAnsi="黑体" w:eastAsia="黑体" w:cs="黑体"/>
                <w:b/>
                <w:bCs/>
                <w:color w:val="000000"/>
              </w:rPr>
              <w:t>活动主题</w:t>
            </w:r>
          </w:p>
        </w:tc>
        <w:tc>
          <w:tcPr>
            <w:tcW w:w="66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黑体" w:eastAsia="黑体" w:cs="黑体"/>
                <w:b/>
                <w:bCs/>
                <w:color w:val="000000"/>
              </w:rPr>
            </w:pPr>
            <w:r>
              <w:rPr>
                <w:rFonts w:hint="eastAsia" w:ascii="黑体" w:hAnsi="黑体" w:eastAsia="黑体" w:cs="黑体"/>
                <w:b/>
                <w:bCs/>
                <w:color w:val="000000"/>
              </w:rPr>
              <w:t>主题说明</w:t>
            </w:r>
          </w:p>
        </w:tc>
      </w:tr>
      <w:tr>
        <w:tblPrEx>
          <w:tblCellMar>
            <w:top w:w="0" w:type="dxa"/>
            <w:left w:w="108" w:type="dxa"/>
            <w:bottom w:w="0" w:type="dxa"/>
            <w:right w:w="108" w:type="dxa"/>
          </w:tblCellMar>
        </w:tblPrEx>
        <w:trPr>
          <w:trHeight w:val="1109"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000000"/>
                <w:sz w:val="20"/>
                <w:szCs w:val="20"/>
              </w:rPr>
            </w:pPr>
            <w:r>
              <w:rPr>
                <w:rFonts w:hint="eastAsia"/>
                <w:color w:val="000000"/>
                <w:sz w:val="20"/>
                <w:szCs w:val="20"/>
              </w:rPr>
              <w:t>1</w:t>
            </w:r>
          </w:p>
        </w:tc>
        <w:tc>
          <w:tcPr>
            <w:tcW w:w="15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000000"/>
                <w:sz w:val="20"/>
                <w:szCs w:val="20"/>
              </w:rPr>
            </w:pPr>
            <w:r>
              <w:rPr>
                <w:rFonts w:hint="eastAsia"/>
                <w:color w:val="000000"/>
                <w:sz w:val="20"/>
                <w:szCs w:val="20"/>
              </w:rPr>
              <w:t>让沉睡百年的雅乐重新奏响——在坚持中改变人生</w:t>
            </w:r>
          </w:p>
        </w:tc>
        <w:tc>
          <w:tcPr>
            <w:tcW w:w="3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Style w:val="18"/>
                <w:rFonts w:hint="default"/>
                <w:sz w:val="20"/>
                <w:szCs w:val="20"/>
              </w:rPr>
            </w:pPr>
            <w:r>
              <w:rPr>
                <w:rFonts w:hint="eastAsia"/>
                <w:b/>
                <w:bCs/>
                <w:color w:val="000000"/>
                <w:sz w:val="20"/>
                <w:szCs w:val="20"/>
              </w:rPr>
              <w:t>王玲</w:t>
            </w:r>
            <w:r>
              <w:rPr>
                <w:rStyle w:val="18"/>
                <w:rFonts w:hint="default"/>
                <w:sz w:val="20"/>
                <w:szCs w:val="20"/>
              </w:rPr>
              <w:t>，北京市总工会职工匠师</w:t>
            </w:r>
          </w:p>
          <w:p>
            <w:pPr>
              <w:textAlignment w:val="center"/>
              <w:rPr>
                <w:b/>
                <w:bCs/>
                <w:color w:val="000000"/>
                <w:sz w:val="20"/>
                <w:szCs w:val="20"/>
              </w:rPr>
            </w:pPr>
            <w:r>
              <w:rPr>
                <w:rStyle w:val="18"/>
                <w:rFonts w:hint="default"/>
                <w:sz w:val="20"/>
                <w:szCs w:val="20"/>
              </w:rPr>
              <w:t>北京市天坛公园管理处、首都劳动奖章获得者、北京市先进工作者、市级创新工作室领军人</w:t>
            </w:r>
          </w:p>
        </w:tc>
        <w:tc>
          <w:tcPr>
            <w:tcW w:w="30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b/>
                <w:bCs/>
                <w:color w:val="000000"/>
                <w:sz w:val="20"/>
                <w:szCs w:val="20"/>
              </w:rPr>
            </w:pPr>
            <w:r>
              <w:rPr>
                <w:rFonts w:hint="eastAsia"/>
                <w:b/>
                <w:bCs/>
                <w:color w:val="000000"/>
                <w:sz w:val="20"/>
                <w:szCs w:val="20"/>
              </w:rPr>
              <w:t>金声玉振集大成的人生智慧</w:t>
            </w:r>
          </w:p>
        </w:tc>
        <w:tc>
          <w:tcPr>
            <w:tcW w:w="6680"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color w:val="000000"/>
                <w:sz w:val="20"/>
                <w:szCs w:val="20"/>
              </w:rPr>
            </w:pPr>
            <w:r>
              <w:rPr>
                <w:rFonts w:hint="eastAsia"/>
                <w:color w:val="000000"/>
                <w:sz w:val="20"/>
                <w:szCs w:val="20"/>
              </w:rPr>
              <w:t>通过阅读分享相关书籍，介绍金声玉振集大成的历史出处，引出传承三千年的韶乐的乐器特色、演奏方法，以及用音乐的艺术特点比拟孔子完美人格的寓意，帮助职工了解礼乐的意义，掌握在日常工作生活中用知识帮助自己解决当下的问题的能力。</w:t>
            </w:r>
          </w:p>
        </w:tc>
      </w:tr>
      <w:tr>
        <w:tblPrEx>
          <w:tblCellMar>
            <w:top w:w="0" w:type="dxa"/>
            <w:left w:w="108" w:type="dxa"/>
            <w:bottom w:w="0" w:type="dxa"/>
            <w:right w:w="108" w:type="dxa"/>
          </w:tblCellMar>
        </w:tblPrEx>
        <w:trPr>
          <w:trHeight w:val="916"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000000"/>
                <w:sz w:val="20"/>
                <w:szCs w:val="20"/>
              </w:rPr>
            </w:pPr>
            <w:r>
              <w:rPr>
                <w:rFonts w:hint="eastAsia"/>
                <w:color w:val="000000"/>
                <w:sz w:val="20"/>
                <w:szCs w:val="20"/>
              </w:rPr>
              <w:t>2</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0"/>
                <w:szCs w:val="20"/>
              </w:rPr>
            </w:pPr>
          </w:p>
        </w:tc>
        <w:tc>
          <w:tcPr>
            <w:tcW w:w="3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b/>
                <w:bCs/>
                <w:color w:val="000000"/>
                <w:sz w:val="20"/>
                <w:szCs w:val="20"/>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b/>
                <w:bCs/>
                <w:color w:val="000000"/>
                <w:sz w:val="20"/>
                <w:szCs w:val="20"/>
              </w:rPr>
            </w:pPr>
            <w:r>
              <w:rPr>
                <w:rFonts w:hint="eastAsia"/>
                <w:b/>
                <w:bCs/>
                <w:color w:val="000000"/>
                <w:sz w:val="20"/>
                <w:szCs w:val="20"/>
              </w:rPr>
              <w:t>寓教于乐的终身成长</w:t>
            </w:r>
          </w:p>
        </w:tc>
        <w:tc>
          <w:tcPr>
            <w:tcW w:w="6680"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color w:val="000000"/>
                <w:sz w:val="20"/>
                <w:szCs w:val="20"/>
              </w:rPr>
            </w:pPr>
            <w:r>
              <w:rPr>
                <w:rFonts w:hint="eastAsia"/>
                <w:color w:val="000000"/>
                <w:sz w:val="20"/>
                <w:szCs w:val="20"/>
              </w:rPr>
              <w:t>通过分享中国传统礼乐文化相关书籍，让职工了解我们礼和乐相关的历史传承以及表现形式，了解古代礼乐的传习演奏方法方法，以及孔子的音乐教育思想，学习古人的文化自信。</w:t>
            </w:r>
          </w:p>
        </w:tc>
      </w:tr>
      <w:tr>
        <w:tblPrEx>
          <w:tblCellMar>
            <w:top w:w="0" w:type="dxa"/>
            <w:left w:w="108" w:type="dxa"/>
            <w:bottom w:w="0" w:type="dxa"/>
            <w:right w:w="108" w:type="dxa"/>
          </w:tblCellMar>
        </w:tblPrEx>
        <w:trPr>
          <w:trHeight w:val="1211"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000000"/>
                <w:sz w:val="20"/>
                <w:szCs w:val="20"/>
              </w:rPr>
            </w:pPr>
            <w:r>
              <w:rPr>
                <w:rFonts w:hint="eastAsia"/>
                <w:color w:val="000000"/>
                <w:sz w:val="20"/>
                <w:szCs w:val="20"/>
              </w:rPr>
              <w:t>3</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0"/>
                <w:szCs w:val="20"/>
              </w:rPr>
            </w:pPr>
          </w:p>
        </w:tc>
        <w:tc>
          <w:tcPr>
            <w:tcW w:w="3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b/>
                <w:bCs/>
                <w:color w:val="000000"/>
                <w:sz w:val="20"/>
                <w:szCs w:val="20"/>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b/>
                <w:bCs/>
                <w:color w:val="000000"/>
                <w:sz w:val="20"/>
                <w:szCs w:val="20"/>
              </w:rPr>
            </w:pPr>
            <w:r>
              <w:rPr>
                <w:rFonts w:hint="eastAsia"/>
                <w:b/>
                <w:bCs/>
                <w:color w:val="000000"/>
                <w:sz w:val="20"/>
                <w:szCs w:val="20"/>
              </w:rPr>
              <w:t>四艺之首的“琴”艺</w:t>
            </w:r>
          </w:p>
        </w:tc>
        <w:tc>
          <w:tcPr>
            <w:tcW w:w="6680"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color w:val="000000"/>
                <w:sz w:val="20"/>
                <w:szCs w:val="20"/>
              </w:rPr>
            </w:pPr>
            <w:r>
              <w:rPr>
                <w:rFonts w:hint="eastAsia"/>
                <w:color w:val="000000"/>
                <w:sz w:val="20"/>
                <w:szCs w:val="20"/>
              </w:rPr>
              <w:t>通过引入古琴艺术等相关书籍，讲述古琴艺术的基本原理和演奏方法，并结合非遗展示实际操作案例，让职工了解古琴艺术的历史文化价值，“独奏悦己”“合奏悦人”等不同使用场合的特性。</w:t>
            </w:r>
          </w:p>
        </w:tc>
      </w:tr>
      <w:tr>
        <w:tblPrEx>
          <w:tblCellMar>
            <w:top w:w="0" w:type="dxa"/>
            <w:left w:w="108" w:type="dxa"/>
            <w:bottom w:w="0" w:type="dxa"/>
            <w:right w:w="108" w:type="dxa"/>
          </w:tblCellMar>
        </w:tblPrEx>
        <w:trPr>
          <w:trHeight w:val="9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000000"/>
                <w:sz w:val="20"/>
                <w:szCs w:val="20"/>
              </w:rPr>
            </w:pPr>
            <w:r>
              <w:rPr>
                <w:rFonts w:hint="eastAsia"/>
                <w:color w:val="000000"/>
                <w:sz w:val="20"/>
                <w:szCs w:val="20"/>
              </w:rPr>
              <w:t>4</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0"/>
                <w:szCs w:val="20"/>
              </w:rPr>
            </w:pPr>
          </w:p>
        </w:tc>
        <w:tc>
          <w:tcPr>
            <w:tcW w:w="3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b/>
                <w:bCs/>
                <w:color w:val="000000"/>
                <w:sz w:val="20"/>
                <w:szCs w:val="20"/>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b/>
                <w:bCs/>
                <w:color w:val="000000"/>
                <w:sz w:val="20"/>
                <w:szCs w:val="20"/>
              </w:rPr>
            </w:pPr>
            <w:r>
              <w:rPr>
                <w:rFonts w:hint="eastAsia"/>
                <w:b/>
                <w:bCs/>
                <w:color w:val="000000"/>
                <w:sz w:val="20"/>
                <w:szCs w:val="20"/>
              </w:rPr>
              <w:t>大自然的声音</w:t>
            </w:r>
          </w:p>
        </w:tc>
        <w:tc>
          <w:tcPr>
            <w:tcW w:w="6680"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color w:val="000000"/>
                <w:sz w:val="20"/>
                <w:szCs w:val="20"/>
              </w:rPr>
            </w:pPr>
            <w:r>
              <w:rPr>
                <w:rFonts w:hint="eastAsia"/>
                <w:color w:val="000000"/>
                <w:sz w:val="20"/>
                <w:szCs w:val="20"/>
              </w:rPr>
              <w:t>通过阅读分享分析来自大自然的材质制作的古乐器的材质特点，讲解人和自然的和谐之美，帮助职工在艺术中改变自己的习惯和处事风格，并学会建立终身受益的学习思维模式。</w:t>
            </w:r>
          </w:p>
        </w:tc>
      </w:tr>
      <w:tr>
        <w:tblPrEx>
          <w:tblCellMar>
            <w:top w:w="0" w:type="dxa"/>
            <w:left w:w="108" w:type="dxa"/>
            <w:bottom w:w="0" w:type="dxa"/>
            <w:right w:w="108" w:type="dxa"/>
          </w:tblCellMar>
        </w:tblPrEx>
        <w:trPr>
          <w:trHeight w:val="1128"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000000"/>
                <w:sz w:val="20"/>
                <w:szCs w:val="20"/>
              </w:rPr>
            </w:pPr>
            <w:r>
              <w:rPr>
                <w:rFonts w:hint="eastAsia"/>
                <w:color w:val="000000"/>
                <w:sz w:val="20"/>
                <w:szCs w:val="20"/>
              </w:rPr>
              <w:t>5</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0"/>
                <w:szCs w:val="20"/>
              </w:rPr>
            </w:pPr>
          </w:p>
        </w:tc>
        <w:tc>
          <w:tcPr>
            <w:tcW w:w="3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b/>
                <w:bCs/>
                <w:color w:val="000000"/>
                <w:sz w:val="20"/>
                <w:szCs w:val="20"/>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b/>
                <w:bCs/>
                <w:color w:val="000000"/>
                <w:sz w:val="20"/>
                <w:szCs w:val="20"/>
              </w:rPr>
            </w:pPr>
            <w:r>
              <w:rPr>
                <w:rFonts w:hint="eastAsia"/>
                <w:b/>
                <w:bCs/>
                <w:color w:val="000000"/>
                <w:sz w:val="20"/>
                <w:szCs w:val="20"/>
              </w:rPr>
              <w:t>科学传播历史文化的现实意义</w:t>
            </w:r>
          </w:p>
        </w:tc>
        <w:tc>
          <w:tcPr>
            <w:tcW w:w="6680"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color w:val="000000"/>
                <w:sz w:val="20"/>
                <w:szCs w:val="20"/>
              </w:rPr>
            </w:pPr>
            <w:r>
              <w:rPr>
                <w:rFonts w:hint="eastAsia"/>
                <w:color w:val="000000"/>
                <w:sz w:val="20"/>
                <w:szCs w:val="20"/>
              </w:rPr>
              <w:t>通过分享传统礼乐文化相关书籍，让职工了解我们传统历史文化的科学价值和技艺传承的表现形式，学会用科学的方法学习古人的文化智慧，科学普及历史文化艺术等。</w:t>
            </w:r>
          </w:p>
        </w:tc>
      </w:tr>
      <w:tr>
        <w:tblPrEx>
          <w:tblCellMar>
            <w:top w:w="0" w:type="dxa"/>
            <w:left w:w="108" w:type="dxa"/>
            <w:bottom w:w="0" w:type="dxa"/>
            <w:right w:w="108" w:type="dxa"/>
          </w:tblCellMar>
        </w:tblPrEx>
        <w:trPr>
          <w:trHeight w:val="699"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黑体" w:eastAsia="黑体" w:cs="黑体"/>
                <w:b/>
                <w:bCs/>
                <w:color w:val="000000"/>
              </w:rPr>
            </w:pPr>
            <w:r>
              <w:rPr>
                <w:rFonts w:hint="eastAsia" w:ascii="黑体" w:hAnsi="黑体" w:eastAsia="黑体" w:cs="黑体"/>
                <w:b/>
                <w:bCs/>
                <w:color w:val="000000"/>
              </w:rPr>
              <w:t>序号</w:t>
            </w:r>
          </w:p>
        </w:tc>
        <w:tc>
          <w:tcPr>
            <w:tcW w:w="1513" w:type="dxa"/>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textAlignment w:val="center"/>
              <w:rPr>
                <w:rFonts w:ascii="黑体" w:hAnsi="黑体" w:eastAsia="黑体" w:cs="黑体"/>
                <w:b/>
                <w:bCs/>
                <w:color w:val="000000"/>
              </w:rPr>
            </w:pPr>
            <w:r>
              <w:rPr>
                <w:rFonts w:hint="eastAsia" w:ascii="黑体" w:hAnsi="黑体" w:eastAsia="黑体" w:cs="黑体"/>
                <w:b/>
                <w:bCs/>
                <w:color w:val="000000"/>
              </w:rPr>
              <w:t>课程名称</w:t>
            </w:r>
          </w:p>
        </w:tc>
        <w:tc>
          <w:tcPr>
            <w:tcW w:w="3020" w:type="dxa"/>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textAlignment w:val="center"/>
              <w:rPr>
                <w:rFonts w:ascii="黑体" w:hAnsi="黑体" w:eastAsia="黑体" w:cs="黑体"/>
                <w:b/>
                <w:bCs/>
                <w:color w:val="000000"/>
              </w:rPr>
            </w:pPr>
            <w:r>
              <w:rPr>
                <w:rFonts w:hint="eastAsia" w:ascii="黑体" w:hAnsi="黑体" w:eastAsia="黑体" w:cs="黑体"/>
                <w:b/>
                <w:bCs/>
                <w:color w:val="000000"/>
              </w:rPr>
              <w:t>师资</w:t>
            </w:r>
          </w:p>
        </w:tc>
        <w:tc>
          <w:tcPr>
            <w:tcW w:w="30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黑体" w:eastAsia="黑体" w:cs="黑体"/>
                <w:b/>
                <w:bCs/>
                <w:color w:val="000000"/>
              </w:rPr>
            </w:pPr>
            <w:r>
              <w:rPr>
                <w:rFonts w:hint="eastAsia" w:ascii="黑体" w:hAnsi="黑体" w:eastAsia="黑体" w:cs="黑体"/>
                <w:b/>
                <w:bCs/>
                <w:color w:val="000000"/>
              </w:rPr>
              <w:t>活动主题</w:t>
            </w:r>
          </w:p>
        </w:tc>
        <w:tc>
          <w:tcPr>
            <w:tcW w:w="66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黑体" w:eastAsia="黑体" w:cs="黑体"/>
                <w:b/>
                <w:bCs/>
                <w:color w:val="000000"/>
              </w:rPr>
            </w:pPr>
            <w:r>
              <w:rPr>
                <w:rFonts w:hint="eastAsia" w:ascii="黑体" w:hAnsi="黑体" w:eastAsia="黑体" w:cs="黑体"/>
                <w:b/>
                <w:bCs/>
                <w:color w:val="000000"/>
              </w:rPr>
              <w:t>主题说明</w:t>
            </w:r>
          </w:p>
        </w:tc>
      </w:tr>
      <w:tr>
        <w:tblPrEx>
          <w:tblCellMar>
            <w:top w:w="0" w:type="dxa"/>
            <w:left w:w="108" w:type="dxa"/>
            <w:bottom w:w="0" w:type="dxa"/>
            <w:right w:w="108" w:type="dxa"/>
          </w:tblCellMar>
        </w:tblPrEx>
        <w:trPr>
          <w:trHeight w:val="415" w:hRule="atLeast"/>
        </w:trPr>
        <w:tc>
          <w:tcPr>
            <w:tcW w:w="707" w:type="dxa"/>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textAlignment w:val="center"/>
              <w:rPr>
                <w:color w:val="000000"/>
                <w:sz w:val="20"/>
                <w:szCs w:val="20"/>
              </w:rPr>
            </w:pPr>
            <w:r>
              <w:rPr>
                <w:rFonts w:hint="eastAsia"/>
                <w:color w:val="000000"/>
                <w:sz w:val="20"/>
                <w:szCs w:val="20"/>
              </w:rPr>
              <w:t>6</w:t>
            </w:r>
          </w:p>
        </w:tc>
        <w:tc>
          <w:tcPr>
            <w:tcW w:w="151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r>
              <w:rPr>
                <w:rStyle w:val="19"/>
                <w:rFonts w:hint="eastAsia" w:ascii="宋体" w:eastAsia="宋体" w:cs="宋体"/>
                <w:sz w:val="20"/>
                <w:szCs w:val="20"/>
              </w:rPr>
              <w:t>用“心”守护健康——在平凡中成就自我</w:t>
            </w:r>
          </w:p>
        </w:tc>
        <w:tc>
          <w:tcPr>
            <w:tcW w:w="3020" w:type="dxa"/>
            <w:vMerge w:val="restart"/>
            <w:tcBorders>
              <w:top w:val="single" w:color="auto" w:sz="4" w:space="0"/>
              <w:left w:val="single" w:color="auto" w:sz="4" w:space="0"/>
              <w:right w:val="single" w:color="auto" w:sz="4" w:space="0"/>
            </w:tcBorders>
            <w:shd w:val="clear" w:color="auto" w:fill="auto"/>
            <w:vAlign w:val="center"/>
          </w:tcPr>
          <w:p>
            <w:pPr>
              <w:textAlignment w:val="center"/>
              <w:rPr>
                <w:rStyle w:val="19"/>
                <w:rFonts w:ascii="宋体" w:eastAsia="宋体" w:cs="宋体"/>
                <w:sz w:val="20"/>
                <w:szCs w:val="20"/>
              </w:rPr>
            </w:pPr>
            <w:r>
              <w:rPr>
                <w:rFonts w:hint="eastAsia"/>
                <w:b/>
                <w:bCs/>
                <w:color w:val="000000"/>
                <w:sz w:val="20"/>
                <w:szCs w:val="20"/>
              </w:rPr>
              <w:t>彭飞</w:t>
            </w:r>
            <w:r>
              <w:rPr>
                <w:rStyle w:val="19"/>
                <w:rFonts w:hint="eastAsia" w:ascii="宋体" w:eastAsia="宋体" w:cs="宋体"/>
                <w:sz w:val="20"/>
                <w:szCs w:val="20"/>
              </w:rPr>
              <w:t>，北京市总工会职工匠师</w:t>
            </w:r>
          </w:p>
          <w:p>
            <w:pPr>
              <w:textAlignment w:val="center"/>
              <w:rPr>
                <w:b/>
                <w:bCs/>
                <w:color w:val="000000"/>
                <w:sz w:val="20"/>
                <w:szCs w:val="20"/>
              </w:rPr>
            </w:pPr>
            <w:r>
              <w:rPr>
                <w:rStyle w:val="19"/>
                <w:rFonts w:hint="eastAsia" w:ascii="宋体" w:eastAsia="宋体" w:cs="宋体"/>
                <w:sz w:val="20"/>
                <w:szCs w:val="20"/>
              </w:rPr>
              <w:t>北京丰台中西医结合医院、北京市总工会职工匠师、全国五一巾帼标兵、市级创新工作室领军人</w:t>
            </w:r>
          </w:p>
        </w:tc>
        <w:tc>
          <w:tcPr>
            <w:tcW w:w="3007"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textAlignment w:val="center"/>
              <w:rPr>
                <w:b/>
                <w:bCs/>
                <w:color w:val="000000"/>
                <w:sz w:val="20"/>
                <w:szCs w:val="20"/>
              </w:rPr>
            </w:pPr>
            <w:r>
              <w:rPr>
                <w:rFonts w:hint="eastAsia"/>
                <w:b/>
                <w:bCs/>
                <w:color w:val="000000"/>
                <w:sz w:val="20"/>
                <w:szCs w:val="20"/>
              </w:rPr>
              <w:t>书香润心，阅见悦己</w:t>
            </w:r>
          </w:p>
        </w:tc>
        <w:tc>
          <w:tcPr>
            <w:tcW w:w="6680"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color w:val="000000"/>
                <w:sz w:val="20"/>
                <w:szCs w:val="20"/>
              </w:rPr>
            </w:pPr>
            <w:r>
              <w:rPr>
                <w:rFonts w:hint="eastAsia"/>
                <w:color w:val="000000"/>
                <w:sz w:val="20"/>
                <w:szCs w:val="20"/>
              </w:rPr>
              <w:t>通过推荐心理健康相关阅读，在书香中探索心理健康，学会情绪管理。</w:t>
            </w:r>
          </w:p>
        </w:tc>
      </w:tr>
      <w:tr>
        <w:tblPrEx>
          <w:tblCellMar>
            <w:top w:w="0" w:type="dxa"/>
            <w:left w:w="108" w:type="dxa"/>
            <w:bottom w:w="0" w:type="dxa"/>
            <w:right w:w="108" w:type="dxa"/>
          </w:tblCellMar>
        </w:tblPrEx>
        <w:trPr>
          <w:trHeight w:val="736" w:hRule="atLeast"/>
        </w:trPr>
        <w:tc>
          <w:tcPr>
            <w:tcW w:w="707" w:type="dxa"/>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textAlignment w:val="center"/>
              <w:rPr>
                <w:color w:val="000000"/>
                <w:sz w:val="20"/>
                <w:szCs w:val="20"/>
              </w:rPr>
            </w:pPr>
            <w:r>
              <w:rPr>
                <w:rFonts w:hint="eastAsia"/>
                <w:color w:val="000000"/>
                <w:sz w:val="20"/>
                <w:szCs w:val="20"/>
              </w:rPr>
              <w:t>7</w:t>
            </w:r>
          </w:p>
        </w:tc>
        <w:tc>
          <w:tcPr>
            <w:tcW w:w="151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000000"/>
                <w:sz w:val="20"/>
                <w:szCs w:val="20"/>
              </w:rPr>
            </w:pPr>
          </w:p>
        </w:tc>
        <w:tc>
          <w:tcPr>
            <w:tcW w:w="3020" w:type="dxa"/>
            <w:vMerge w:val="continue"/>
            <w:tcBorders>
              <w:left w:val="single" w:color="auto" w:sz="4" w:space="0"/>
              <w:right w:val="single" w:color="auto" w:sz="4" w:space="0"/>
            </w:tcBorders>
            <w:shd w:val="clear" w:color="auto" w:fill="auto"/>
            <w:vAlign w:val="center"/>
          </w:tcPr>
          <w:p>
            <w:pPr>
              <w:rPr>
                <w:b/>
                <w:bCs/>
                <w:color w:val="000000"/>
                <w:sz w:val="20"/>
                <w:szCs w:val="20"/>
              </w:rPr>
            </w:pPr>
          </w:p>
        </w:tc>
        <w:tc>
          <w:tcPr>
            <w:tcW w:w="3007"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textAlignment w:val="center"/>
              <w:rPr>
                <w:b/>
                <w:bCs/>
                <w:color w:val="000000"/>
                <w:sz w:val="20"/>
                <w:szCs w:val="20"/>
              </w:rPr>
            </w:pPr>
            <w:r>
              <w:rPr>
                <w:rFonts w:hint="eastAsia"/>
                <w:b/>
                <w:bCs/>
                <w:color w:val="000000"/>
                <w:sz w:val="20"/>
                <w:szCs w:val="20"/>
              </w:rPr>
              <w:t>你的身体在说话</w:t>
            </w:r>
          </w:p>
        </w:tc>
        <w:tc>
          <w:tcPr>
            <w:tcW w:w="6680"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color w:val="000000"/>
                <w:sz w:val="20"/>
                <w:szCs w:val="20"/>
              </w:rPr>
            </w:pPr>
            <w:r>
              <w:rPr>
                <w:rFonts w:hint="eastAsia"/>
                <w:color w:val="000000"/>
                <w:sz w:val="20"/>
                <w:szCs w:val="20"/>
              </w:rPr>
              <w:t>通过阅读传递不同文化、不同角度下的健康觉察，让参与者更加全面认知健康，共享正念等自我觉察、自我赋能方法。</w:t>
            </w:r>
          </w:p>
        </w:tc>
      </w:tr>
      <w:tr>
        <w:tblPrEx>
          <w:tblCellMar>
            <w:top w:w="0" w:type="dxa"/>
            <w:left w:w="108" w:type="dxa"/>
            <w:bottom w:w="0" w:type="dxa"/>
            <w:right w:w="108" w:type="dxa"/>
          </w:tblCellMar>
        </w:tblPrEx>
        <w:trPr>
          <w:trHeight w:val="672" w:hRule="atLeast"/>
        </w:trPr>
        <w:tc>
          <w:tcPr>
            <w:tcW w:w="707" w:type="dxa"/>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textAlignment w:val="center"/>
              <w:rPr>
                <w:color w:val="000000"/>
                <w:sz w:val="20"/>
                <w:szCs w:val="20"/>
              </w:rPr>
            </w:pPr>
            <w:r>
              <w:rPr>
                <w:rFonts w:hint="eastAsia"/>
                <w:color w:val="000000"/>
                <w:sz w:val="20"/>
                <w:szCs w:val="20"/>
              </w:rPr>
              <w:t>8</w:t>
            </w:r>
          </w:p>
        </w:tc>
        <w:tc>
          <w:tcPr>
            <w:tcW w:w="151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000000"/>
                <w:sz w:val="20"/>
                <w:szCs w:val="20"/>
              </w:rPr>
            </w:pPr>
          </w:p>
        </w:tc>
        <w:tc>
          <w:tcPr>
            <w:tcW w:w="3020" w:type="dxa"/>
            <w:vMerge w:val="continue"/>
            <w:tcBorders>
              <w:left w:val="single" w:color="auto" w:sz="4" w:space="0"/>
              <w:right w:val="single" w:color="auto" w:sz="4" w:space="0"/>
            </w:tcBorders>
            <w:shd w:val="clear" w:color="auto" w:fill="auto"/>
            <w:vAlign w:val="center"/>
          </w:tcPr>
          <w:p>
            <w:pPr>
              <w:rPr>
                <w:b/>
                <w:bCs/>
                <w:color w:val="000000"/>
                <w:sz w:val="20"/>
                <w:szCs w:val="20"/>
              </w:rPr>
            </w:pPr>
          </w:p>
        </w:tc>
        <w:tc>
          <w:tcPr>
            <w:tcW w:w="3007"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textAlignment w:val="center"/>
              <w:rPr>
                <w:b/>
                <w:bCs/>
                <w:color w:val="000000"/>
                <w:sz w:val="20"/>
                <w:szCs w:val="20"/>
              </w:rPr>
            </w:pPr>
            <w:r>
              <w:rPr>
                <w:rFonts w:hint="eastAsia"/>
                <w:b/>
                <w:bCs/>
                <w:color w:val="000000"/>
                <w:sz w:val="20"/>
                <w:szCs w:val="20"/>
              </w:rPr>
              <w:t>从“心”出发，相约“绘”读</w:t>
            </w:r>
          </w:p>
        </w:tc>
        <w:tc>
          <w:tcPr>
            <w:tcW w:w="6680"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color w:val="000000"/>
                <w:sz w:val="20"/>
                <w:szCs w:val="20"/>
              </w:rPr>
            </w:pPr>
            <w:r>
              <w:rPr>
                <w:rFonts w:hint="eastAsia"/>
                <w:color w:val="000000"/>
                <w:sz w:val="20"/>
                <w:szCs w:val="20"/>
              </w:rPr>
              <w:t>通过绘画与阅读的结合，从“绘”到绘本读物，从“心”到心身健康，让参与者乐享觉察与突破。</w:t>
            </w:r>
          </w:p>
        </w:tc>
      </w:tr>
      <w:tr>
        <w:tblPrEx>
          <w:tblCellMar>
            <w:top w:w="0" w:type="dxa"/>
            <w:left w:w="108" w:type="dxa"/>
            <w:bottom w:w="0" w:type="dxa"/>
            <w:right w:w="108" w:type="dxa"/>
          </w:tblCellMar>
        </w:tblPrEx>
        <w:trPr>
          <w:trHeight w:val="689" w:hRule="atLeast"/>
        </w:trPr>
        <w:tc>
          <w:tcPr>
            <w:tcW w:w="707" w:type="dxa"/>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textAlignment w:val="center"/>
              <w:rPr>
                <w:color w:val="000000"/>
                <w:sz w:val="20"/>
                <w:szCs w:val="20"/>
              </w:rPr>
            </w:pPr>
            <w:r>
              <w:rPr>
                <w:rFonts w:hint="eastAsia"/>
                <w:color w:val="000000"/>
                <w:sz w:val="20"/>
                <w:szCs w:val="20"/>
              </w:rPr>
              <w:t>9</w:t>
            </w:r>
          </w:p>
        </w:tc>
        <w:tc>
          <w:tcPr>
            <w:tcW w:w="151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000000"/>
                <w:sz w:val="20"/>
                <w:szCs w:val="20"/>
              </w:rPr>
            </w:pPr>
          </w:p>
        </w:tc>
        <w:tc>
          <w:tcPr>
            <w:tcW w:w="3020" w:type="dxa"/>
            <w:vMerge w:val="continue"/>
            <w:tcBorders>
              <w:left w:val="single" w:color="auto" w:sz="4" w:space="0"/>
              <w:right w:val="single" w:color="auto" w:sz="4" w:space="0"/>
            </w:tcBorders>
            <w:shd w:val="clear" w:color="auto" w:fill="auto"/>
            <w:vAlign w:val="center"/>
          </w:tcPr>
          <w:p>
            <w:pPr>
              <w:rPr>
                <w:b/>
                <w:bCs/>
                <w:color w:val="000000"/>
                <w:sz w:val="20"/>
                <w:szCs w:val="20"/>
              </w:rPr>
            </w:pPr>
          </w:p>
        </w:tc>
        <w:tc>
          <w:tcPr>
            <w:tcW w:w="3007"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textAlignment w:val="center"/>
              <w:rPr>
                <w:b/>
                <w:bCs/>
                <w:color w:val="000000"/>
                <w:sz w:val="20"/>
                <w:szCs w:val="20"/>
              </w:rPr>
            </w:pPr>
            <w:r>
              <w:rPr>
                <w:rFonts w:hint="eastAsia"/>
                <w:b/>
                <w:bCs/>
                <w:color w:val="000000"/>
                <w:sz w:val="20"/>
                <w:szCs w:val="20"/>
              </w:rPr>
              <w:t>慢慢来</w:t>
            </w:r>
          </w:p>
        </w:tc>
        <w:tc>
          <w:tcPr>
            <w:tcW w:w="6680"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color w:val="000000"/>
                <w:sz w:val="20"/>
                <w:szCs w:val="20"/>
              </w:rPr>
            </w:pPr>
            <w:r>
              <w:rPr>
                <w:rFonts w:hint="eastAsia"/>
                <w:color w:val="000000"/>
                <w:sz w:val="20"/>
                <w:szCs w:val="20"/>
              </w:rPr>
              <w:t>通过带领职工组织亲子读书活动，让家长感受在阅读中陪伴成长，关注慢下来后亲子关系中最柔软的部分，缓解养育焦虑。</w:t>
            </w:r>
          </w:p>
        </w:tc>
      </w:tr>
      <w:tr>
        <w:tblPrEx>
          <w:tblCellMar>
            <w:top w:w="0" w:type="dxa"/>
            <w:left w:w="108" w:type="dxa"/>
            <w:bottom w:w="0" w:type="dxa"/>
            <w:right w:w="108" w:type="dxa"/>
          </w:tblCellMar>
        </w:tblPrEx>
        <w:trPr>
          <w:trHeight w:val="564" w:hRule="atLeast"/>
        </w:trPr>
        <w:tc>
          <w:tcPr>
            <w:tcW w:w="707" w:type="dxa"/>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textAlignment w:val="center"/>
              <w:rPr>
                <w:color w:val="000000"/>
                <w:sz w:val="20"/>
                <w:szCs w:val="20"/>
              </w:rPr>
            </w:pPr>
            <w:r>
              <w:rPr>
                <w:rFonts w:hint="eastAsia"/>
                <w:color w:val="000000"/>
                <w:sz w:val="20"/>
                <w:szCs w:val="20"/>
              </w:rPr>
              <w:t>10</w:t>
            </w:r>
          </w:p>
        </w:tc>
        <w:tc>
          <w:tcPr>
            <w:tcW w:w="151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000000"/>
                <w:sz w:val="20"/>
                <w:szCs w:val="20"/>
              </w:rPr>
            </w:pPr>
          </w:p>
        </w:tc>
        <w:tc>
          <w:tcPr>
            <w:tcW w:w="3020" w:type="dxa"/>
            <w:vMerge w:val="continue"/>
            <w:tcBorders>
              <w:left w:val="single" w:color="auto" w:sz="4" w:space="0"/>
              <w:bottom w:val="single" w:color="auto" w:sz="4" w:space="0"/>
              <w:right w:val="single" w:color="auto" w:sz="4" w:space="0"/>
            </w:tcBorders>
            <w:shd w:val="clear" w:color="auto" w:fill="auto"/>
            <w:vAlign w:val="center"/>
          </w:tcPr>
          <w:p>
            <w:pPr>
              <w:rPr>
                <w:b/>
                <w:bCs/>
                <w:color w:val="000000"/>
                <w:sz w:val="20"/>
                <w:szCs w:val="20"/>
              </w:rPr>
            </w:pPr>
          </w:p>
        </w:tc>
        <w:tc>
          <w:tcPr>
            <w:tcW w:w="3007"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textAlignment w:val="center"/>
              <w:rPr>
                <w:b/>
                <w:bCs/>
                <w:color w:val="000000"/>
                <w:sz w:val="20"/>
                <w:szCs w:val="20"/>
              </w:rPr>
            </w:pPr>
            <w:r>
              <w:rPr>
                <w:rFonts w:hint="eastAsia"/>
                <w:b/>
                <w:bCs/>
                <w:color w:val="000000"/>
                <w:sz w:val="20"/>
                <w:szCs w:val="20"/>
              </w:rPr>
              <w:t>医与患</w:t>
            </w:r>
          </w:p>
        </w:tc>
        <w:tc>
          <w:tcPr>
            <w:tcW w:w="6680"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color w:val="000000"/>
                <w:sz w:val="20"/>
                <w:szCs w:val="20"/>
              </w:rPr>
            </w:pPr>
            <w:r>
              <w:rPr>
                <w:rFonts w:hint="eastAsia"/>
                <w:color w:val="000000"/>
                <w:sz w:val="20"/>
                <w:szCs w:val="20"/>
              </w:rPr>
              <w:t>通过阅读以叙事医学形式，在经典大咖的字里行间探寻医学人文中的医与患，觉察岗位中的疑与惑。</w:t>
            </w:r>
          </w:p>
        </w:tc>
      </w:tr>
      <w:tr>
        <w:tblPrEx>
          <w:tblCellMar>
            <w:top w:w="0" w:type="dxa"/>
            <w:left w:w="108" w:type="dxa"/>
            <w:bottom w:w="0" w:type="dxa"/>
            <w:right w:w="108" w:type="dxa"/>
          </w:tblCellMar>
        </w:tblPrEx>
        <w:trPr>
          <w:trHeight w:val="603" w:hRule="atLeast"/>
        </w:trPr>
        <w:tc>
          <w:tcPr>
            <w:tcW w:w="707" w:type="dxa"/>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textAlignment w:val="center"/>
              <w:rPr>
                <w:color w:val="000000"/>
                <w:sz w:val="20"/>
                <w:szCs w:val="20"/>
              </w:rPr>
            </w:pPr>
            <w:r>
              <w:rPr>
                <w:rFonts w:hint="eastAsia"/>
                <w:color w:val="000000"/>
                <w:sz w:val="20"/>
                <w:szCs w:val="20"/>
              </w:rPr>
              <w:t>11</w:t>
            </w:r>
          </w:p>
        </w:tc>
        <w:tc>
          <w:tcPr>
            <w:tcW w:w="151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color w:val="000000"/>
                <w:sz w:val="20"/>
                <w:szCs w:val="20"/>
              </w:rPr>
            </w:pPr>
            <w:r>
              <w:rPr>
                <w:rFonts w:hint="eastAsia"/>
                <w:color w:val="000000"/>
                <w:sz w:val="20"/>
                <w:szCs w:val="20"/>
              </w:rPr>
              <w:t>觉察的力量</w:t>
            </w:r>
          </w:p>
        </w:tc>
        <w:tc>
          <w:tcPr>
            <w:tcW w:w="3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Style w:val="20"/>
                <w:rFonts w:ascii="宋体" w:eastAsia="宋体" w:cs="宋体"/>
                <w:sz w:val="20"/>
                <w:szCs w:val="20"/>
              </w:rPr>
            </w:pPr>
            <w:r>
              <w:rPr>
                <w:rFonts w:hint="eastAsia"/>
                <w:b/>
                <w:bCs/>
                <w:color w:val="000000"/>
                <w:sz w:val="20"/>
                <w:szCs w:val="20"/>
              </w:rPr>
              <w:t>王宏伟</w:t>
            </w:r>
            <w:r>
              <w:rPr>
                <w:rStyle w:val="20"/>
                <w:rFonts w:hint="eastAsia" w:ascii="宋体" w:eastAsia="宋体" w:cs="宋体"/>
                <w:sz w:val="20"/>
                <w:szCs w:val="20"/>
              </w:rPr>
              <w:t>，北京市总工会职工讲师</w:t>
            </w:r>
          </w:p>
          <w:p>
            <w:pPr>
              <w:textAlignment w:val="center"/>
              <w:rPr>
                <w:b/>
                <w:bCs/>
                <w:color w:val="000000"/>
                <w:sz w:val="20"/>
                <w:szCs w:val="20"/>
              </w:rPr>
            </w:pPr>
            <w:r>
              <w:rPr>
                <w:rStyle w:val="20"/>
                <w:rFonts w:hint="eastAsia" w:ascii="宋体" w:eastAsia="宋体" w:cs="宋体"/>
                <w:sz w:val="20"/>
                <w:szCs w:val="20"/>
              </w:rPr>
              <w:t>北京帆书文化科技有限公司</w:t>
            </w:r>
          </w:p>
        </w:tc>
        <w:tc>
          <w:tcPr>
            <w:tcW w:w="3007"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textAlignment w:val="center"/>
              <w:rPr>
                <w:b/>
                <w:bCs/>
                <w:color w:val="000000"/>
                <w:sz w:val="20"/>
                <w:szCs w:val="20"/>
              </w:rPr>
            </w:pPr>
            <w:r>
              <w:rPr>
                <w:rFonts w:hint="eastAsia"/>
                <w:b/>
                <w:bCs/>
                <w:color w:val="000000"/>
                <w:sz w:val="20"/>
                <w:szCs w:val="20"/>
              </w:rPr>
              <w:t>情绪觉察与管理</w:t>
            </w:r>
          </w:p>
        </w:tc>
        <w:tc>
          <w:tcPr>
            <w:tcW w:w="6680"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color w:val="000000"/>
                <w:sz w:val="20"/>
                <w:szCs w:val="20"/>
              </w:rPr>
            </w:pPr>
            <w:r>
              <w:rPr>
                <w:rFonts w:hint="eastAsia"/>
                <w:color w:val="000000"/>
                <w:sz w:val="20"/>
                <w:szCs w:val="20"/>
              </w:rPr>
              <w:t>通过分享情绪相关书籍，让职工了解我们情绪背后的原理，并掌握情绪管理的方法，做到情绪自由。</w:t>
            </w:r>
          </w:p>
        </w:tc>
      </w:tr>
      <w:tr>
        <w:tblPrEx>
          <w:tblCellMar>
            <w:top w:w="0" w:type="dxa"/>
            <w:left w:w="108" w:type="dxa"/>
            <w:bottom w:w="0" w:type="dxa"/>
            <w:right w:w="108" w:type="dxa"/>
          </w:tblCellMar>
        </w:tblPrEx>
        <w:trPr>
          <w:trHeight w:val="924" w:hRule="atLeast"/>
        </w:trPr>
        <w:tc>
          <w:tcPr>
            <w:tcW w:w="707" w:type="dxa"/>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textAlignment w:val="center"/>
              <w:rPr>
                <w:color w:val="000000"/>
                <w:sz w:val="20"/>
                <w:szCs w:val="20"/>
              </w:rPr>
            </w:pPr>
            <w:r>
              <w:rPr>
                <w:rFonts w:hint="eastAsia"/>
                <w:color w:val="000000"/>
                <w:sz w:val="20"/>
                <w:szCs w:val="20"/>
              </w:rPr>
              <w:t>12</w:t>
            </w:r>
          </w:p>
        </w:tc>
        <w:tc>
          <w:tcPr>
            <w:tcW w:w="151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000000"/>
                <w:sz w:val="20"/>
                <w:szCs w:val="20"/>
              </w:rPr>
            </w:pPr>
          </w:p>
        </w:tc>
        <w:tc>
          <w:tcPr>
            <w:tcW w:w="30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b/>
                <w:bCs/>
                <w:color w:val="000000"/>
                <w:sz w:val="20"/>
                <w:szCs w:val="20"/>
              </w:rPr>
            </w:pPr>
          </w:p>
        </w:tc>
        <w:tc>
          <w:tcPr>
            <w:tcW w:w="3007"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textAlignment w:val="center"/>
              <w:rPr>
                <w:b/>
                <w:bCs/>
                <w:color w:val="000000"/>
                <w:sz w:val="20"/>
                <w:szCs w:val="20"/>
              </w:rPr>
            </w:pPr>
            <w:r>
              <w:rPr>
                <w:rFonts w:hint="eastAsia"/>
                <w:b/>
                <w:bCs/>
                <w:color w:val="000000"/>
                <w:sz w:val="20"/>
                <w:szCs w:val="20"/>
              </w:rPr>
              <w:t>高效正念休息法</w:t>
            </w:r>
          </w:p>
        </w:tc>
        <w:tc>
          <w:tcPr>
            <w:tcW w:w="6680"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color w:val="000000"/>
                <w:sz w:val="20"/>
                <w:szCs w:val="20"/>
              </w:rPr>
            </w:pPr>
            <w:r>
              <w:rPr>
                <w:rFonts w:hint="eastAsia"/>
                <w:color w:val="000000"/>
                <w:sz w:val="20"/>
                <w:szCs w:val="20"/>
              </w:rPr>
              <w:t>通过讲述大脑疲劳的原理和正念相关的科学研究成果，让职工了解正念休息的意义和价值，并掌握和练习多种正念休息的方法，从而摆脱精神内耗，快速恢复精力。适用于感觉自己精力不够，总是疲惫的个人。</w:t>
            </w:r>
          </w:p>
        </w:tc>
      </w:tr>
      <w:tr>
        <w:tblPrEx>
          <w:tblCellMar>
            <w:top w:w="0" w:type="dxa"/>
            <w:left w:w="108" w:type="dxa"/>
            <w:bottom w:w="0" w:type="dxa"/>
            <w:right w:w="108" w:type="dxa"/>
          </w:tblCellMar>
        </w:tblPrEx>
        <w:trPr>
          <w:trHeight w:val="1066" w:hRule="atLeast"/>
        </w:trPr>
        <w:tc>
          <w:tcPr>
            <w:tcW w:w="707" w:type="dxa"/>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textAlignment w:val="center"/>
              <w:rPr>
                <w:color w:val="000000"/>
                <w:sz w:val="20"/>
                <w:szCs w:val="20"/>
              </w:rPr>
            </w:pPr>
            <w:r>
              <w:rPr>
                <w:rFonts w:hint="eastAsia"/>
                <w:color w:val="000000"/>
                <w:sz w:val="20"/>
                <w:szCs w:val="20"/>
              </w:rPr>
              <w:t>13</w:t>
            </w:r>
          </w:p>
        </w:tc>
        <w:tc>
          <w:tcPr>
            <w:tcW w:w="151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000000"/>
                <w:sz w:val="20"/>
                <w:szCs w:val="20"/>
              </w:rPr>
            </w:pPr>
          </w:p>
        </w:tc>
        <w:tc>
          <w:tcPr>
            <w:tcW w:w="30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b/>
                <w:bCs/>
                <w:color w:val="000000"/>
                <w:sz w:val="20"/>
                <w:szCs w:val="20"/>
              </w:rPr>
            </w:pPr>
          </w:p>
        </w:tc>
        <w:tc>
          <w:tcPr>
            <w:tcW w:w="3007"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textAlignment w:val="center"/>
              <w:rPr>
                <w:b/>
                <w:bCs/>
                <w:color w:val="000000"/>
                <w:sz w:val="20"/>
                <w:szCs w:val="20"/>
              </w:rPr>
            </w:pPr>
            <w:r>
              <w:rPr>
                <w:rFonts w:hint="eastAsia"/>
                <w:b/>
                <w:bCs/>
                <w:color w:val="000000"/>
                <w:sz w:val="20"/>
                <w:szCs w:val="20"/>
              </w:rPr>
              <w:t>重新定义成功的思维模式</w:t>
            </w:r>
          </w:p>
        </w:tc>
        <w:tc>
          <w:tcPr>
            <w:tcW w:w="6680"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color w:val="000000"/>
                <w:sz w:val="20"/>
                <w:szCs w:val="20"/>
              </w:rPr>
            </w:pPr>
            <w:r>
              <w:rPr>
                <w:rFonts w:hint="eastAsia"/>
                <w:color w:val="000000"/>
                <w:sz w:val="20"/>
                <w:szCs w:val="20"/>
              </w:rPr>
              <w:t>通过讲解影响我们人成败的两种思维模式，帮助职工觉察自己日常习惯的处事风格，并学会建立终身受益的成长型思维模式。适用于想要深层突破自己，从内在发生转变的员工。</w:t>
            </w:r>
          </w:p>
        </w:tc>
      </w:tr>
      <w:tr>
        <w:tblPrEx>
          <w:tblCellMar>
            <w:top w:w="0" w:type="dxa"/>
            <w:left w:w="108" w:type="dxa"/>
            <w:bottom w:w="0" w:type="dxa"/>
            <w:right w:w="108" w:type="dxa"/>
          </w:tblCellMar>
        </w:tblPrEx>
        <w:trPr>
          <w:trHeight w:val="995" w:hRule="atLeast"/>
        </w:trPr>
        <w:tc>
          <w:tcPr>
            <w:tcW w:w="707" w:type="dxa"/>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textAlignment w:val="center"/>
              <w:rPr>
                <w:color w:val="000000"/>
                <w:sz w:val="20"/>
                <w:szCs w:val="20"/>
              </w:rPr>
            </w:pPr>
            <w:r>
              <w:rPr>
                <w:rFonts w:hint="eastAsia"/>
                <w:color w:val="000000"/>
                <w:sz w:val="20"/>
                <w:szCs w:val="20"/>
              </w:rPr>
              <w:t>14</w:t>
            </w:r>
          </w:p>
        </w:tc>
        <w:tc>
          <w:tcPr>
            <w:tcW w:w="151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000000"/>
                <w:sz w:val="20"/>
                <w:szCs w:val="20"/>
              </w:rPr>
            </w:pPr>
          </w:p>
        </w:tc>
        <w:tc>
          <w:tcPr>
            <w:tcW w:w="30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b/>
                <w:bCs/>
                <w:color w:val="000000"/>
                <w:sz w:val="20"/>
                <w:szCs w:val="20"/>
              </w:rPr>
            </w:pPr>
          </w:p>
        </w:tc>
        <w:tc>
          <w:tcPr>
            <w:tcW w:w="3007"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textAlignment w:val="center"/>
              <w:rPr>
                <w:b/>
                <w:bCs/>
                <w:color w:val="000000"/>
                <w:sz w:val="20"/>
                <w:szCs w:val="20"/>
              </w:rPr>
            </w:pPr>
            <w:r>
              <w:rPr>
                <w:rFonts w:hint="eastAsia"/>
                <w:b/>
                <w:bCs/>
                <w:color w:val="000000"/>
                <w:sz w:val="20"/>
                <w:szCs w:val="20"/>
              </w:rPr>
              <w:t>陪孩子终身成长</w:t>
            </w:r>
          </w:p>
        </w:tc>
        <w:tc>
          <w:tcPr>
            <w:tcW w:w="6680"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color w:val="000000"/>
                <w:sz w:val="20"/>
                <w:szCs w:val="20"/>
              </w:rPr>
            </w:pPr>
            <w:r>
              <w:rPr>
                <w:rFonts w:hint="eastAsia"/>
                <w:color w:val="000000"/>
                <w:sz w:val="20"/>
                <w:szCs w:val="20"/>
              </w:rPr>
              <w:t>通过讲解亲子关系的相关书籍，帮助职工了解孩子成长过程中必不可少的三根支柱——无条件的爱、价值感和终身成长的心态，从而帮助职工放下焦虑，轻松养娃。</w:t>
            </w:r>
          </w:p>
        </w:tc>
      </w:tr>
      <w:tr>
        <w:tblPrEx>
          <w:tblCellMar>
            <w:top w:w="0" w:type="dxa"/>
            <w:left w:w="108" w:type="dxa"/>
            <w:bottom w:w="0" w:type="dxa"/>
            <w:right w:w="108" w:type="dxa"/>
          </w:tblCellMar>
        </w:tblPrEx>
        <w:trPr>
          <w:trHeight w:val="931" w:hRule="atLeast"/>
        </w:trPr>
        <w:tc>
          <w:tcPr>
            <w:tcW w:w="707" w:type="dxa"/>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textAlignment w:val="center"/>
              <w:rPr>
                <w:color w:val="000000"/>
                <w:sz w:val="20"/>
                <w:szCs w:val="20"/>
              </w:rPr>
            </w:pPr>
            <w:r>
              <w:rPr>
                <w:rFonts w:hint="eastAsia"/>
                <w:color w:val="000000"/>
                <w:sz w:val="20"/>
                <w:szCs w:val="20"/>
              </w:rPr>
              <w:t>15</w:t>
            </w:r>
          </w:p>
        </w:tc>
        <w:tc>
          <w:tcPr>
            <w:tcW w:w="151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000000"/>
                <w:sz w:val="20"/>
                <w:szCs w:val="20"/>
              </w:rPr>
            </w:pPr>
          </w:p>
        </w:tc>
        <w:tc>
          <w:tcPr>
            <w:tcW w:w="30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b/>
                <w:bCs/>
                <w:color w:val="000000"/>
                <w:sz w:val="20"/>
                <w:szCs w:val="20"/>
              </w:rPr>
            </w:pPr>
          </w:p>
        </w:tc>
        <w:tc>
          <w:tcPr>
            <w:tcW w:w="3007"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textAlignment w:val="center"/>
              <w:rPr>
                <w:b/>
                <w:bCs/>
                <w:color w:val="000000"/>
                <w:sz w:val="20"/>
                <w:szCs w:val="20"/>
              </w:rPr>
            </w:pPr>
            <w:r>
              <w:rPr>
                <w:rFonts w:hint="eastAsia"/>
                <w:b/>
                <w:bCs/>
                <w:color w:val="000000"/>
                <w:sz w:val="20"/>
                <w:szCs w:val="20"/>
              </w:rPr>
              <w:t>可复制的领导力</w:t>
            </w:r>
          </w:p>
        </w:tc>
        <w:tc>
          <w:tcPr>
            <w:tcW w:w="6680"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color w:val="000000"/>
                <w:sz w:val="20"/>
                <w:szCs w:val="20"/>
              </w:rPr>
            </w:pPr>
            <w:r>
              <w:rPr>
                <w:rFonts w:hint="eastAsia"/>
                <w:color w:val="000000"/>
                <w:sz w:val="20"/>
                <w:szCs w:val="20"/>
              </w:rPr>
              <w:t>通过讲解提高领导力的一系列工具和方法，让初做管理者的职工轻松掌握管理的方法。</w:t>
            </w:r>
          </w:p>
        </w:tc>
      </w:tr>
      <w:tr>
        <w:tblPrEx>
          <w:tblCellMar>
            <w:top w:w="0" w:type="dxa"/>
            <w:left w:w="108" w:type="dxa"/>
            <w:bottom w:w="0" w:type="dxa"/>
            <w:right w:w="108" w:type="dxa"/>
          </w:tblCellMar>
        </w:tblPrEx>
        <w:trPr>
          <w:trHeight w:val="1016"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000000"/>
                <w:sz w:val="20"/>
                <w:szCs w:val="20"/>
              </w:rPr>
            </w:pPr>
            <w:r>
              <w:rPr>
                <w:rFonts w:hint="eastAsia"/>
                <w:color w:val="000000"/>
                <w:sz w:val="20"/>
                <w:szCs w:val="20"/>
              </w:rPr>
              <w:t>16</w:t>
            </w:r>
          </w:p>
        </w:tc>
        <w:tc>
          <w:tcPr>
            <w:tcW w:w="1513"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000000"/>
                <w:sz w:val="20"/>
                <w:szCs w:val="20"/>
              </w:rPr>
            </w:pPr>
            <w:r>
              <w:rPr>
                <w:rFonts w:hint="eastAsia"/>
                <w:color w:val="000000"/>
                <w:sz w:val="20"/>
                <w:szCs w:val="20"/>
              </w:rPr>
              <w:t>沟通与表达</w:t>
            </w:r>
          </w:p>
        </w:tc>
        <w:tc>
          <w:tcPr>
            <w:tcW w:w="3020"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pPr>
              <w:textAlignment w:val="center"/>
              <w:rPr>
                <w:rStyle w:val="21"/>
                <w:rFonts w:hint="default"/>
                <w:sz w:val="20"/>
                <w:szCs w:val="20"/>
              </w:rPr>
            </w:pPr>
            <w:r>
              <w:rPr>
                <w:rFonts w:hint="eastAsia"/>
                <w:b/>
                <w:bCs/>
                <w:color w:val="000000"/>
                <w:sz w:val="20"/>
                <w:szCs w:val="20"/>
              </w:rPr>
              <w:t>李琛</w:t>
            </w:r>
            <w:r>
              <w:rPr>
                <w:rStyle w:val="21"/>
                <w:rFonts w:hint="default"/>
                <w:sz w:val="20"/>
                <w:szCs w:val="20"/>
              </w:rPr>
              <w:t>，北京市总工会职工讲师</w:t>
            </w:r>
          </w:p>
          <w:p>
            <w:pPr>
              <w:textAlignment w:val="center"/>
              <w:rPr>
                <w:b/>
                <w:bCs/>
                <w:color w:val="000000"/>
                <w:sz w:val="20"/>
                <w:szCs w:val="20"/>
              </w:rPr>
            </w:pPr>
            <w:r>
              <w:rPr>
                <w:rStyle w:val="21"/>
                <w:rFonts w:hint="default"/>
                <w:sz w:val="20"/>
                <w:szCs w:val="20"/>
              </w:rPr>
              <w:t>宸冰阅读（北京）文化传媒有限公司、北京读书形象大使、北京金牌阅读推广人</w:t>
            </w:r>
          </w:p>
        </w:tc>
        <w:tc>
          <w:tcPr>
            <w:tcW w:w="30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b/>
                <w:bCs/>
                <w:color w:val="000000"/>
                <w:sz w:val="20"/>
                <w:szCs w:val="20"/>
              </w:rPr>
            </w:pPr>
            <w:r>
              <w:rPr>
                <w:rFonts w:hint="eastAsia"/>
                <w:b/>
                <w:bCs/>
                <w:color w:val="000000"/>
                <w:sz w:val="20"/>
                <w:szCs w:val="20"/>
              </w:rPr>
              <w:t>专业演讲与表达</w:t>
            </w:r>
          </w:p>
        </w:tc>
        <w:tc>
          <w:tcPr>
            <w:tcW w:w="6680"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color w:val="000000"/>
                <w:sz w:val="20"/>
                <w:szCs w:val="20"/>
              </w:rPr>
            </w:pPr>
            <w:r>
              <w:rPr>
                <w:rFonts w:hint="eastAsia"/>
                <w:color w:val="000000"/>
                <w:sz w:val="20"/>
                <w:szCs w:val="20"/>
              </w:rPr>
              <w:t>课程专注于提升个人的演讲与表达能力。学员将学习如何组织演讲内容，如何通过朗诵提升表达能力，以及如何有效地传达信息。这些技能将使学员在演讲与表达活动中更加自信和流畅。</w:t>
            </w:r>
          </w:p>
        </w:tc>
      </w:tr>
      <w:tr>
        <w:tblPrEx>
          <w:tblCellMar>
            <w:top w:w="0" w:type="dxa"/>
            <w:left w:w="108" w:type="dxa"/>
            <w:bottom w:w="0" w:type="dxa"/>
            <w:right w:w="108" w:type="dxa"/>
          </w:tblCellMar>
        </w:tblPrEx>
        <w:trPr>
          <w:trHeight w:val="1059"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000000"/>
                <w:sz w:val="20"/>
                <w:szCs w:val="20"/>
              </w:rPr>
            </w:pPr>
            <w:r>
              <w:rPr>
                <w:rFonts w:hint="eastAsia"/>
                <w:color w:val="000000"/>
                <w:sz w:val="20"/>
                <w:szCs w:val="20"/>
              </w:rPr>
              <w:t>17</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0"/>
                <w:szCs w:val="20"/>
              </w:rPr>
            </w:pPr>
          </w:p>
        </w:tc>
        <w:tc>
          <w:tcPr>
            <w:tcW w:w="3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b/>
                <w:bCs/>
                <w:color w:val="000000"/>
                <w:sz w:val="20"/>
                <w:szCs w:val="20"/>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b/>
                <w:bCs/>
                <w:color w:val="000000"/>
                <w:sz w:val="20"/>
                <w:szCs w:val="20"/>
              </w:rPr>
            </w:pPr>
            <w:r>
              <w:rPr>
                <w:rFonts w:hint="eastAsia"/>
                <w:b/>
                <w:bCs/>
                <w:color w:val="000000"/>
                <w:sz w:val="20"/>
                <w:szCs w:val="20"/>
              </w:rPr>
              <w:t>职场沟通的技巧</w:t>
            </w:r>
          </w:p>
        </w:tc>
        <w:tc>
          <w:tcPr>
            <w:tcW w:w="6680"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color w:val="000000"/>
                <w:sz w:val="20"/>
                <w:szCs w:val="20"/>
              </w:rPr>
            </w:pPr>
            <w:r>
              <w:rPr>
                <w:rFonts w:hint="eastAsia"/>
                <w:color w:val="000000"/>
                <w:sz w:val="20"/>
                <w:szCs w:val="20"/>
              </w:rPr>
              <w:t>老师将分享如何通过阅读将沟通技巧相关书籍提升个人沟通与表达能力。学员将学习如何处理演讲中的紧张情绪，如何吸引听众的注意力，以及如何有效地传达信息。</w:t>
            </w:r>
          </w:p>
        </w:tc>
      </w:tr>
      <w:tr>
        <w:tblPrEx>
          <w:tblCellMar>
            <w:top w:w="0" w:type="dxa"/>
            <w:left w:w="108" w:type="dxa"/>
            <w:bottom w:w="0" w:type="dxa"/>
            <w:right w:w="108" w:type="dxa"/>
          </w:tblCellMar>
        </w:tblPrEx>
        <w:trPr>
          <w:trHeight w:val="1124"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000000"/>
                <w:sz w:val="20"/>
                <w:szCs w:val="20"/>
              </w:rPr>
            </w:pPr>
            <w:r>
              <w:rPr>
                <w:rFonts w:hint="eastAsia"/>
                <w:color w:val="000000"/>
                <w:sz w:val="20"/>
                <w:szCs w:val="20"/>
              </w:rPr>
              <w:t>18</w:t>
            </w:r>
          </w:p>
        </w:tc>
        <w:tc>
          <w:tcPr>
            <w:tcW w:w="15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000000"/>
                <w:sz w:val="20"/>
                <w:szCs w:val="20"/>
              </w:rPr>
            </w:pPr>
            <w:r>
              <w:rPr>
                <w:rFonts w:hint="eastAsia"/>
                <w:color w:val="000000"/>
                <w:sz w:val="20"/>
                <w:szCs w:val="20"/>
              </w:rPr>
              <w:t>女性幸福密码</w:t>
            </w:r>
          </w:p>
        </w:tc>
        <w:tc>
          <w:tcPr>
            <w:tcW w:w="3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b/>
                <w:bCs/>
                <w:color w:val="000000"/>
                <w:sz w:val="20"/>
                <w:szCs w:val="20"/>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b/>
                <w:bCs/>
                <w:color w:val="000000"/>
                <w:sz w:val="20"/>
                <w:szCs w:val="20"/>
              </w:rPr>
            </w:pPr>
            <w:r>
              <w:rPr>
                <w:rFonts w:hint="eastAsia"/>
                <w:b/>
                <w:bCs/>
                <w:color w:val="000000"/>
                <w:sz w:val="20"/>
                <w:szCs w:val="20"/>
              </w:rPr>
              <w:t>女性员工成长</w:t>
            </w:r>
          </w:p>
        </w:tc>
        <w:tc>
          <w:tcPr>
            <w:tcW w:w="6680"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color w:val="000000"/>
                <w:sz w:val="20"/>
                <w:szCs w:val="20"/>
              </w:rPr>
            </w:pPr>
            <w:r>
              <w:rPr>
                <w:rFonts w:hint="eastAsia"/>
                <w:color w:val="000000"/>
                <w:sz w:val="20"/>
                <w:szCs w:val="20"/>
              </w:rPr>
              <w:t>课程将通过阅读分享的形式深入探讨女性在社会、家庭和自我认同中的成长。课程内容涵盖了如何提升自我意识、如何应对职场挑战、如何建立正面的自我形象等主题。</w:t>
            </w:r>
          </w:p>
        </w:tc>
      </w:tr>
      <w:tr>
        <w:tblPrEx>
          <w:tblCellMar>
            <w:top w:w="0" w:type="dxa"/>
            <w:left w:w="108" w:type="dxa"/>
            <w:bottom w:w="0" w:type="dxa"/>
            <w:right w:w="108" w:type="dxa"/>
          </w:tblCellMar>
        </w:tblPrEx>
        <w:trPr>
          <w:trHeight w:val="1226"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000000"/>
                <w:sz w:val="20"/>
                <w:szCs w:val="20"/>
              </w:rPr>
            </w:pPr>
            <w:r>
              <w:rPr>
                <w:rFonts w:hint="eastAsia"/>
                <w:color w:val="000000"/>
                <w:sz w:val="20"/>
                <w:szCs w:val="20"/>
              </w:rPr>
              <w:t>19</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0"/>
                <w:szCs w:val="20"/>
              </w:rPr>
            </w:pPr>
          </w:p>
        </w:tc>
        <w:tc>
          <w:tcPr>
            <w:tcW w:w="3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b/>
                <w:bCs/>
                <w:color w:val="000000"/>
                <w:sz w:val="20"/>
                <w:szCs w:val="20"/>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b/>
                <w:bCs/>
                <w:color w:val="000000"/>
                <w:sz w:val="20"/>
                <w:szCs w:val="20"/>
              </w:rPr>
            </w:pPr>
            <w:r>
              <w:rPr>
                <w:rFonts w:hint="eastAsia"/>
                <w:b/>
                <w:bCs/>
                <w:color w:val="000000"/>
                <w:sz w:val="20"/>
                <w:szCs w:val="20"/>
              </w:rPr>
              <w:t>职工心理健康管理</w:t>
            </w:r>
          </w:p>
        </w:tc>
        <w:tc>
          <w:tcPr>
            <w:tcW w:w="6680"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color w:val="000000"/>
                <w:sz w:val="20"/>
                <w:szCs w:val="20"/>
              </w:rPr>
            </w:pPr>
            <w:r>
              <w:rPr>
                <w:rFonts w:hint="eastAsia"/>
                <w:color w:val="000000"/>
                <w:sz w:val="20"/>
                <w:szCs w:val="20"/>
              </w:rPr>
              <w:t>课程将通过阅读分享的形式深入探讨女性在职场和生活中的心理健康问题，提供了如何应对压力、如何保持积极心态的方法和技巧。这非常适合心理健康管理活动，帮助员工学会自我调节和管理，保持心理健康和良好的工作状态。</w:t>
            </w:r>
          </w:p>
        </w:tc>
      </w:tr>
      <w:tr>
        <w:tblPrEx>
          <w:tblCellMar>
            <w:top w:w="0" w:type="dxa"/>
            <w:left w:w="108" w:type="dxa"/>
            <w:bottom w:w="0" w:type="dxa"/>
            <w:right w:w="108" w:type="dxa"/>
          </w:tblCellMar>
        </w:tblPrEx>
        <w:trPr>
          <w:trHeight w:val="939"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000000"/>
                <w:sz w:val="20"/>
                <w:szCs w:val="20"/>
              </w:rPr>
            </w:pPr>
            <w:r>
              <w:rPr>
                <w:rFonts w:hint="eastAsia"/>
                <w:color w:val="000000"/>
                <w:sz w:val="20"/>
                <w:szCs w:val="20"/>
              </w:rPr>
              <w:t>20</w:t>
            </w:r>
          </w:p>
        </w:tc>
        <w:tc>
          <w:tcPr>
            <w:tcW w:w="15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000000"/>
                <w:sz w:val="20"/>
                <w:szCs w:val="20"/>
              </w:rPr>
            </w:pPr>
            <w:r>
              <w:rPr>
                <w:rFonts w:hint="eastAsia"/>
                <w:color w:val="000000"/>
                <w:sz w:val="20"/>
                <w:szCs w:val="20"/>
              </w:rPr>
              <w:t>全息阅读导引</w:t>
            </w:r>
          </w:p>
        </w:tc>
        <w:tc>
          <w:tcPr>
            <w:tcW w:w="3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b/>
                <w:bCs/>
                <w:color w:val="000000"/>
                <w:sz w:val="20"/>
                <w:szCs w:val="20"/>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b/>
                <w:bCs/>
                <w:color w:val="000000"/>
                <w:sz w:val="20"/>
                <w:szCs w:val="20"/>
              </w:rPr>
            </w:pPr>
            <w:r>
              <w:rPr>
                <w:rFonts w:hint="eastAsia"/>
                <w:b/>
                <w:bCs/>
                <w:color w:val="000000"/>
                <w:sz w:val="20"/>
                <w:szCs w:val="20"/>
              </w:rPr>
              <w:t>书香企业建设</w:t>
            </w:r>
          </w:p>
        </w:tc>
        <w:tc>
          <w:tcPr>
            <w:tcW w:w="6680"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color w:val="000000"/>
                <w:sz w:val="20"/>
                <w:szCs w:val="20"/>
              </w:rPr>
            </w:pPr>
            <w:r>
              <w:rPr>
                <w:rFonts w:hint="eastAsia"/>
                <w:color w:val="000000"/>
                <w:sz w:val="20"/>
                <w:szCs w:val="20"/>
              </w:rPr>
              <w:t>课程将通过阅读分享的形式通过带领学生深入探讨北京职工如何阅读来丰富企业文化，提升员工综合素养。这不仅有助于打造书香企业氛围，还能促进员工个人职业发展。</w:t>
            </w:r>
          </w:p>
        </w:tc>
      </w:tr>
      <w:tr>
        <w:tblPrEx>
          <w:tblCellMar>
            <w:top w:w="0" w:type="dxa"/>
            <w:left w:w="108" w:type="dxa"/>
            <w:bottom w:w="0" w:type="dxa"/>
            <w:right w:w="108" w:type="dxa"/>
          </w:tblCellMar>
        </w:tblPrEx>
        <w:trPr>
          <w:trHeight w:val="9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000000"/>
                <w:sz w:val="20"/>
                <w:szCs w:val="20"/>
              </w:rPr>
            </w:pPr>
            <w:r>
              <w:rPr>
                <w:rFonts w:hint="eastAsia"/>
                <w:color w:val="000000"/>
                <w:sz w:val="20"/>
                <w:szCs w:val="20"/>
              </w:rPr>
              <w:t>21</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0"/>
                <w:szCs w:val="20"/>
              </w:rPr>
            </w:pPr>
          </w:p>
        </w:tc>
        <w:tc>
          <w:tcPr>
            <w:tcW w:w="3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b/>
                <w:bCs/>
                <w:color w:val="000000"/>
                <w:sz w:val="20"/>
                <w:szCs w:val="20"/>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b/>
                <w:bCs/>
                <w:color w:val="000000"/>
                <w:sz w:val="20"/>
                <w:szCs w:val="20"/>
              </w:rPr>
            </w:pPr>
            <w:r>
              <w:rPr>
                <w:rFonts w:hint="eastAsia"/>
                <w:b/>
                <w:bCs/>
                <w:color w:val="000000"/>
                <w:sz w:val="20"/>
                <w:szCs w:val="20"/>
              </w:rPr>
              <w:t>职场能力充电</w:t>
            </w:r>
          </w:p>
        </w:tc>
        <w:tc>
          <w:tcPr>
            <w:tcW w:w="6680"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color w:val="000000"/>
                <w:sz w:val="20"/>
                <w:szCs w:val="20"/>
              </w:rPr>
            </w:pPr>
            <w:r>
              <w:rPr>
                <w:rFonts w:hint="eastAsia"/>
                <w:color w:val="000000"/>
                <w:sz w:val="20"/>
                <w:szCs w:val="20"/>
              </w:rPr>
              <w:t>课程将通过阅读分享的形式，分享如何在工作中通过阅读来提升专业技能和拓展人脉资源。使学生们意识到阅读不仅是提高综合素质的途径，也是职场发展的有力支持。</w:t>
            </w:r>
          </w:p>
        </w:tc>
      </w:tr>
      <w:tr>
        <w:tblPrEx>
          <w:tblCellMar>
            <w:top w:w="0" w:type="dxa"/>
            <w:left w:w="108" w:type="dxa"/>
            <w:bottom w:w="0" w:type="dxa"/>
            <w:right w:w="108" w:type="dxa"/>
          </w:tblCellMar>
        </w:tblPrEx>
        <w:trPr>
          <w:trHeight w:val="753"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000000"/>
                <w:sz w:val="20"/>
                <w:szCs w:val="20"/>
              </w:rPr>
            </w:pPr>
            <w:r>
              <w:rPr>
                <w:rFonts w:hint="eastAsia"/>
                <w:color w:val="000000"/>
                <w:sz w:val="20"/>
                <w:szCs w:val="20"/>
              </w:rPr>
              <w:t>22</w:t>
            </w:r>
          </w:p>
        </w:tc>
        <w:tc>
          <w:tcPr>
            <w:tcW w:w="15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000000"/>
                <w:sz w:val="20"/>
                <w:szCs w:val="20"/>
              </w:rPr>
            </w:pPr>
            <w:r>
              <w:rPr>
                <w:rFonts w:hint="eastAsia"/>
                <w:color w:val="000000"/>
                <w:sz w:val="20"/>
                <w:szCs w:val="20"/>
              </w:rPr>
              <w:t>全息阅读综合培训·稿件创作课</w:t>
            </w:r>
          </w:p>
        </w:tc>
        <w:tc>
          <w:tcPr>
            <w:tcW w:w="3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Style w:val="21"/>
                <w:rFonts w:hint="default"/>
                <w:sz w:val="20"/>
                <w:szCs w:val="20"/>
              </w:rPr>
            </w:pPr>
            <w:r>
              <w:rPr>
                <w:rFonts w:hint="eastAsia"/>
                <w:b/>
                <w:bCs/>
                <w:color w:val="000000"/>
                <w:sz w:val="20"/>
                <w:szCs w:val="20"/>
              </w:rPr>
              <w:t>辛俊杰</w:t>
            </w:r>
            <w:r>
              <w:rPr>
                <w:rStyle w:val="21"/>
                <w:rFonts w:hint="default"/>
                <w:sz w:val="20"/>
                <w:szCs w:val="20"/>
              </w:rPr>
              <w:t>，北京市总工会职工讲师</w:t>
            </w:r>
          </w:p>
          <w:p>
            <w:pPr>
              <w:textAlignment w:val="center"/>
              <w:rPr>
                <w:b/>
                <w:bCs/>
                <w:color w:val="000000"/>
                <w:sz w:val="20"/>
                <w:szCs w:val="20"/>
              </w:rPr>
            </w:pPr>
            <w:r>
              <w:rPr>
                <w:rStyle w:val="21"/>
                <w:rFonts w:hint="default"/>
                <w:sz w:val="20"/>
                <w:szCs w:val="20"/>
              </w:rPr>
              <w:t>宸冰阅读（北京）文化传媒有限公司</w:t>
            </w:r>
          </w:p>
        </w:tc>
        <w:tc>
          <w:tcPr>
            <w:tcW w:w="30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b/>
                <w:bCs/>
                <w:color w:val="000000"/>
                <w:sz w:val="20"/>
                <w:szCs w:val="20"/>
              </w:rPr>
            </w:pPr>
            <w:r>
              <w:rPr>
                <w:rFonts w:hint="eastAsia"/>
                <w:b/>
                <w:bCs/>
                <w:color w:val="000000"/>
                <w:sz w:val="20"/>
                <w:szCs w:val="20"/>
              </w:rPr>
              <w:t>提升写作能力</w:t>
            </w:r>
          </w:p>
        </w:tc>
        <w:tc>
          <w:tcPr>
            <w:tcW w:w="6680"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color w:val="000000"/>
                <w:sz w:val="20"/>
                <w:szCs w:val="20"/>
              </w:rPr>
            </w:pPr>
            <w:r>
              <w:rPr>
                <w:rFonts w:hint="eastAsia"/>
                <w:color w:val="000000"/>
                <w:sz w:val="20"/>
                <w:szCs w:val="20"/>
              </w:rPr>
              <w:t>课程将通过阅读分享的形式，讲解讲书稿的独特性和大树理论六要素的写作运用，使学员能够掌握写作的核心技巧。</w:t>
            </w:r>
          </w:p>
        </w:tc>
      </w:tr>
      <w:tr>
        <w:tblPrEx>
          <w:tblCellMar>
            <w:top w:w="0" w:type="dxa"/>
            <w:left w:w="108" w:type="dxa"/>
            <w:bottom w:w="0" w:type="dxa"/>
            <w:right w:w="108" w:type="dxa"/>
          </w:tblCellMar>
        </w:tblPrEx>
        <w:trPr>
          <w:trHeight w:val="932"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000000"/>
                <w:sz w:val="20"/>
                <w:szCs w:val="20"/>
              </w:rPr>
            </w:pPr>
            <w:r>
              <w:rPr>
                <w:rFonts w:hint="eastAsia"/>
                <w:color w:val="000000"/>
                <w:sz w:val="20"/>
                <w:szCs w:val="20"/>
              </w:rPr>
              <w:t>23</w:t>
            </w: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000000"/>
                <w:sz w:val="20"/>
                <w:szCs w:val="20"/>
              </w:rPr>
            </w:pPr>
          </w:p>
        </w:tc>
        <w:tc>
          <w:tcPr>
            <w:tcW w:w="3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b/>
                <w:bCs/>
                <w:color w:val="000000"/>
                <w:sz w:val="20"/>
                <w:szCs w:val="20"/>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b/>
                <w:bCs/>
                <w:color w:val="000000"/>
                <w:sz w:val="20"/>
                <w:szCs w:val="20"/>
              </w:rPr>
            </w:pPr>
            <w:r>
              <w:rPr>
                <w:rFonts w:hint="eastAsia"/>
                <w:b/>
                <w:bCs/>
                <w:color w:val="000000"/>
                <w:sz w:val="20"/>
                <w:szCs w:val="20"/>
              </w:rPr>
              <w:t>演讲稿写作</w:t>
            </w:r>
          </w:p>
        </w:tc>
        <w:tc>
          <w:tcPr>
            <w:tcW w:w="6680"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color w:val="000000"/>
                <w:sz w:val="20"/>
                <w:szCs w:val="20"/>
              </w:rPr>
            </w:pPr>
            <w:r>
              <w:rPr>
                <w:rFonts w:hint="eastAsia"/>
                <w:color w:val="000000"/>
                <w:sz w:val="20"/>
                <w:szCs w:val="20"/>
              </w:rPr>
              <w:t>课程将通过阅读分享的形式，教授学员如何根据听众的特点撰写具有说服力的演讲稿。学员将了解讲书与演讲、朗诵的区别，掌握稿件金字塔结构，以及如何用五感写开头等技巧。</w:t>
            </w:r>
          </w:p>
        </w:tc>
      </w:tr>
      <w:tr>
        <w:tblPrEx>
          <w:tblCellMar>
            <w:top w:w="0" w:type="dxa"/>
            <w:left w:w="108" w:type="dxa"/>
            <w:bottom w:w="0" w:type="dxa"/>
            <w:right w:w="108" w:type="dxa"/>
          </w:tblCellMar>
        </w:tblPrEx>
        <w:trPr>
          <w:trHeight w:val="799"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color w:val="000000"/>
                <w:sz w:val="20"/>
                <w:szCs w:val="20"/>
              </w:rPr>
            </w:pPr>
            <w:r>
              <w:rPr>
                <w:rFonts w:hint="eastAsia"/>
                <w:color w:val="000000"/>
                <w:sz w:val="20"/>
                <w:szCs w:val="20"/>
              </w:rPr>
              <w:t>24</w:t>
            </w:r>
          </w:p>
        </w:tc>
        <w:tc>
          <w:tcPr>
            <w:tcW w:w="1513"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color w:val="000000"/>
                <w:sz w:val="20"/>
                <w:szCs w:val="20"/>
              </w:rPr>
            </w:pPr>
          </w:p>
        </w:tc>
        <w:tc>
          <w:tcPr>
            <w:tcW w:w="3020"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rPr>
                <w:b/>
                <w:bCs/>
                <w:color w:val="000000"/>
                <w:sz w:val="20"/>
                <w:szCs w:val="20"/>
              </w:rPr>
            </w:pPr>
          </w:p>
        </w:tc>
        <w:tc>
          <w:tcPr>
            <w:tcW w:w="30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b/>
                <w:bCs/>
                <w:color w:val="000000"/>
                <w:sz w:val="20"/>
                <w:szCs w:val="20"/>
              </w:rPr>
            </w:pPr>
            <w:r>
              <w:rPr>
                <w:rFonts w:hint="eastAsia"/>
                <w:b/>
                <w:bCs/>
                <w:color w:val="000000"/>
                <w:sz w:val="20"/>
                <w:szCs w:val="20"/>
              </w:rPr>
              <w:t>读书稿写作</w:t>
            </w:r>
          </w:p>
        </w:tc>
        <w:tc>
          <w:tcPr>
            <w:tcW w:w="6680"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color w:val="000000"/>
                <w:sz w:val="20"/>
                <w:szCs w:val="20"/>
              </w:rPr>
            </w:pPr>
            <w:r>
              <w:rPr>
                <w:rFonts w:hint="eastAsia"/>
                <w:color w:val="000000"/>
                <w:sz w:val="20"/>
                <w:szCs w:val="20"/>
              </w:rPr>
              <w:t>读书稿写作是分享书籍、传递知识的重要方式。课程将通过阅读分享的形式，教授学员如何运用全息阅读法撰写吸引人的读书稿，如何用五感写开头，以及如何设计讲书稿PPT。</w:t>
            </w:r>
          </w:p>
        </w:tc>
      </w:tr>
      <w:tr>
        <w:tblPrEx>
          <w:tblCellMar>
            <w:top w:w="0" w:type="dxa"/>
            <w:left w:w="108" w:type="dxa"/>
            <w:bottom w:w="0" w:type="dxa"/>
            <w:right w:w="108" w:type="dxa"/>
          </w:tblCellMar>
        </w:tblPrEx>
        <w:trPr>
          <w:trHeight w:val="799" w:hRule="atLeast"/>
        </w:trPr>
        <w:tc>
          <w:tcPr>
            <w:tcW w:w="707" w:type="dxa"/>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textAlignment w:val="center"/>
              <w:rPr>
                <w:color w:val="000000"/>
                <w:sz w:val="20"/>
                <w:szCs w:val="20"/>
              </w:rPr>
            </w:pPr>
            <w:r>
              <w:rPr>
                <w:rFonts w:hint="eastAsia"/>
                <w:color w:val="000000"/>
                <w:sz w:val="20"/>
                <w:szCs w:val="20"/>
              </w:rPr>
              <w:t>25</w:t>
            </w:r>
          </w:p>
        </w:tc>
        <w:tc>
          <w:tcPr>
            <w:tcW w:w="151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000000"/>
                <w:sz w:val="20"/>
                <w:szCs w:val="20"/>
              </w:rPr>
            </w:pPr>
            <w:r>
              <w:rPr>
                <w:rFonts w:hint="eastAsia"/>
                <w:color w:val="000000"/>
                <w:sz w:val="20"/>
                <w:szCs w:val="20"/>
              </w:rPr>
              <w:t>为人类发展转化正能量——讲讲动力那些事</w:t>
            </w:r>
          </w:p>
        </w:tc>
        <w:tc>
          <w:tcPr>
            <w:tcW w:w="3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rPr>
                <w:color w:val="000000"/>
                <w:sz w:val="20"/>
                <w:szCs w:val="20"/>
              </w:rPr>
            </w:pPr>
            <w:r>
              <w:rPr>
                <w:rFonts w:hint="eastAsia"/>
                <w:b/>
                <w:bCs/>
                <w:color w:val="000000"/>
                <w:sz w:val="20"/>
                <w:szCs w:val="20"/>
              </w:rPr>
              <w:t>李嵩</w:t>
            </w:r>
            <w:r>
              <w:rPr>
                <w:rFonts w:hint="eastAsia"/>
                <w:color w:val="000000"/>
                <w:sz w:val="20"/>
                <w:szCs w:val="20"/>
              </w:rPr>
              <w:t>，北京市市总工会职工讲师</w:t>
            </w:r>
          </w:p>
          <w:p>
            <w:pPr>
              <w:rPr>
                <w:b/>
                <w:bCs/>
                <w:color w:val="000000"/>
                <w:sz w:val="20"/>
                <w:szCs w:val="20"/>
              </w:rPr>
            </w:pPr>
            <w:r>
              <w:rPr>
                <w:rFonts w:hint="eastAsia"/>
                <w:color w:val="000000"/>
                <w:sz w:val="20"/>
                <w:szCs w:val="20"/>
              </w:rPr>
              <w:t>北京动力机械研究所</w:t>
            </w:r>
          </w:p>
        </w:tc>
        <w:tc>
          <w:tcPr>
            <w:tcW w:w="3007"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textAlignment w:val="center"/>
              <w:rPr>
                <w:b/>
                <w:bCs/>
                <w:color w:val="000000"/>
                <w:sz w:val="20"/>
                <w:szCs w:val="20"/>
              </w:rPr>
            </w:pPr>
            <w:r>
              <w:rPr>
                <w:rFonts w:hint="eastAsia"/>
                <w:b/>
                <w:bCs/>
                <w:color w:val="000000"/>
                <w:sz w:val="20"/>
                <w:szCs w:val="20"/>
              </w:rPr>
              <w:t>能源革命</w:t>
            </w:r>
          </w:p>
        </w:tc>
        <w:tc>
          <w:tcPr>
            <w:tcW w:w="6680"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color w:val="000000"/>
                <w:sz w:val="20"/>
                <w:szCs w:val="20"/>
              </w:rPr>
            </w:pPr>
            <w:r>
              <w:rPr>
                <w:rFonts w:hint="eastAsia"/>
                <w:color w:val="000000"/>
                <w:sz w:val="20"/>
                <w:szCs w:val="20"/>
              </w:rPr>
              <w:t>能源如何影响人类社会发展？为什么掌握了能源霸权就掌握了世界话语权？中国加速推动新能源产业变革背后的深层次原因是什么？下一个引领人类社会巨变的能源革命将何时到来？一课带您掌握人类发展脉络。</w:t>
            </w:r>
          </w:p>
        </w:tc>
      </w:tr>
      <w:tr>
        <w:tblPrEx>
          <w:tblCellMar>
            <w:top w:w="0" w:type="dxa"/>
            <w:left w:w="108" w:type="dxa"/>
            <w:bottom w:w="0" w:type="dxa"/>
            <w:right w:w="108" w:type="dxa"/>
          </w:tblCellMar>
        </w:tblPrEx>
        <w:trPr>
          <w:trHeight w:val="748" w:hRule="atLeast"/>
        </w:trPr>
        <w:tc>
          <w:tcPr>
            <w:tcW w:w="707" w:type="dxa"/>
            <w:tcBorders>
              <w:top w:val="single" w:color="000000" w:sz="4" w:space="0"/>
              <w:left w:val="single" w:color="000000" w:sz="4" w:space="0"/>
              <w:right w:val="single" w:color="auto" w:sz="4" w:space="0"/>
            </w:tcBorders>
            <w:shd w:val="clear" w:color="auto" w:fill="auto"/>
            <w:vAlign w:val="center"/>
          </w:tcPr>
          <w:p>
            <w:pPr>
              <w:jc w:val="center"/>
              <w:textAlignment w:val="center"/>
              <w:rPr>
                <w:color w:val="000000"/>
                <w:sz w:val="20"/>
                <w:szCs w:val="20"/>
              </w:rPr>
            </w:pPr>
            <w:r>
              <w:rPr>
                <w:rFonts w:hint="eastAsia"/>
                <w:color w:val="000000"/>
                <w:sz w:val="20"/>
                <w:szCs w:val="20"/>
              </w:rPr>
              <w:t>26</w:t>
            </w:r>
          </w:p>
        </w:tc>
        <w:tc>
          <w:tcPr>
            <w:tcW w:w="151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000000"/>
                <w:sz w:val="20"/>
                <w:szCs w:val="20"/>
              </w:rPr>
            </w:pPr>
          </w:p>
        </w:tc>
        <w:tc>
          <w:tcPr>
            <w:tcW w:w="30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color w:val="000000"/>
                <w:sz w:val="20"/>
                <w:szCs w:val="20"/>
              </w:rPr>
            </w:pPr>
          </w:p>
        </w:tc>
        <w:tc>
          <w:tcPr>
            <w:tcW w:w="3007" w:type="dxa"/>
            <w:tcBorders>
              <w:top w:val="single" w:color="000000" w:sz="4" w:space="0"/>
              <w:left w:val="single" w:color="auto" w:sz="4" w:space="0"/>
              <w:right w:val="single" w:color="000000" w:sz="4" w:space="0"/>
            </w:tcBorders>
            <w:shd w:val="clear" w:color="auto" w:fill="auto"/>
            <w:vAlign w:val="center"/>
          </w:tcPr>
          <w:p>
            <w:pPr>
              <w:jc w:val="center"/>
              <w:textAlignment w:val="center"/>
              <w:rPr>
                <w:b/>
                <w:bCs/>
                <w:color w:val="000000"/>
                <w:sz w:val="20"/>
                <w:szCs w:val="20"/>
              </w:rPr>
            </w:pPr>
            <w:r>
              <w:rPr>
                <w:rFonts w:hint="eastAsia"/>
                <w:b/>
                <w:bCs/>
                <w:color w:val="000000"/>
                <w:sz w:val="20"/>
                <w:szCs w:val="20"/>
              </w:rPr>
              <w:t>人类为了上天有多努力？</w:t>
            </w:r>
          </w:p>
        </w:tc>
        <w:tc>
          <w:tcPr>
            <w:tcW w:w="6680" w:type="dxa"/>
            <w:tcBorders>
              <w:top w:val="single" w:color="000000" w:sz="4" w:space="0"/>
              <w:left w:val="single" w:color="000000" w:sz="4" w:space="0"/>
              <w:right w:val="single" w:color="000000" w:sz="4" w:space="0"/>
            </w:tcBorders>
            <w:shd w:val="clear" w:color="auto" w:fill="auto"/>
            <w:vAlign w:val="center"/>
          </w:tcPr>
          <w:p>
            <w:pPr>
              <w:textAlignment w:val="center"/>
              <w:rPr>
                <w:color w:val="000000"/>
                <w:sz w:val="20"/>
                <w:szCs w:val="20"/>
              </w:rPr>
            </w:pPr>
            <w:r>
              <w:rPr>
                <w:rFonts w:hint="eastAsia"/>
                <w:color w:val="000000"/>
                <w:sz w:val="20"/>
                <w:szCs w:val="20"/>
              </w:rPr>
              <w:t>学渣成为火箭先驱拢共需要几步？火箭发射倒计时是怎么来的？钱学森为什么被称为火箭之王？这门课带你了解，为了能够战胜地心引力，人类到底付出了什么。</w:t>
            </w:r>
          </w:p>
        </w:tc>
      </w:tr>
      <w:tr>
        <w:tblPrEx>
          <w:tblCellMar>
            <w:top w:w="0" w:type="dxa"/>
            <w:left w:w="108" w:type="dxa"/>
            <w:bottom w:w="0" w:type="dxa"/>
            <w:right w:w="108" w:type="dxa"/>
          </w:tblCellMar>
        </w:tblPrEx>
        <w:trPr>
          <w:trHeight w:val="799" w:hRule="atLeast"/>
        </w:trPr>
        <w:tc>
          <w:tcPr>
            <w:tcW w:w="707" w:type="dxa"/>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textAlignment w:val="center"/>
              <w:rPr>
                <w:color w:val="000000"/>
                <w:sz w:val="20"/>
                <w:szCs w:val="20"/>
              </w:rPr>
            </w:pPr>
            <w:r>
              <w:rPr>
                <w:rFonts w:hint="eastAsia"/>
                <w:color w:val="000000"/>
                <w:sz w:val="20"/>
                <w:szCs w:val="20"/>
              </w:rPr>
              <w:t>27</w:t>
            </w:r>
          </w:p>
        </w:tc>
        <w:tc>
          <w:tcPr>
            <w:tcW w:w="151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000000"/>
                <w:sz w:val="20"/>
                <w:szCs w:val="20"/>
              </w:rPr>
            </w:pPr>
          </w:p>
        </w:tc>
        <w:tc>
          <w:tcPr>
            <w:tcW w:w="30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color w:val="000000"/>
                <w:sz w:val="20"/>
                <w:szCs w:val="20"/>
              </w:rPr>
            </w:pPr>
          </w:p>
        </w:tc>
        <w:tc>
          <w:tcPr>
            <w:tcW w:w="3007"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textAlignment w:val="center"/>
              <w:rPr>
                <w:b/>
                <w:bCs/>
                <w:color w:val="000000"/>
                <w:sz w:val="20"/>
                <w:szCs w:val="20"/>
              </w:rPr>
            </w:pPr>
            <w:r>
              <w:rPr>
                <w:rFonts w:hint="eastAsia"/>
                <w:b/>
                <w:bCs/>
                <w:color w:val="000000"/>
                <w:sz w:val="20"/>
                <w:szCs w:val="20"/>
              </w:rPr>
              <w:t>像火箭科学家一样去思考</w:t>
            </w:r>
          </w:p>
        </w:tc>
        <w:tc>
          <w:tcPr>
            <w:tcW w:w="6680"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color w:val="000000"/>
                <w:sz w:val="20"/>
                <w:szCs w:val="20"/>
              </w:rPr>
            </w:pPr>
            <w:r>
              <w:rPr>
                <w:rFonts w:hint="eastAsia"/>
                <w:color w:val="000000"/>
                <w:sz w:val="20"/>
                <w:szCs w:val="20"/>
              </w:rPr>
              <w:t>解决火箭问题就像烧开水？知道了火箭科学家如何思考，你也可以像埃隆马斯克那样造火箭。</w:t>
            </w:r>
          </w:p>
        </w:tc>
      </w:tr>
      <w:tr>
        <w:tblPrEx>
          <w:tblCellMar>
            <w:top w:w="0" w:type="dxa"/>
            <w:left w:w="108" w:type="dxa"/>
            <w:bottom w:w="0" w:type="dxa"/>
            <w:right w:w="108" w:type="dxa"/>
          </w:tblCellMar>
        </w:tblPrEx>
        <w:trPr>
          <w:trHeight w:val="799" w:hRule="atLeast"/>
        </w:trPr>
        <w:tc>
          <w:tcPr>
            <w:tcW w:w="707" w:type="dxa"/>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textAlignment w:val="center"/>
              <w:rPr>
                <w:color w:val="000000"/>
                <w:sz w:val="20"/>
                <w:szCs w:val="20"/>
              </w:rPr>
            </w:pPr>
            <w:r>
              <w:rPr>
                <w:rFonts w:hint="eastAsia"/>
                <w:color w:val="000000"/>
                <w:sz w:val="20"/>
                <w:szCs w:val="20"/>
              </w:rPr>
              <w:t>28</w:t>
            </w:r>
          </w:p>
        </w:tc>
        <w:tc>
          <w:tcPr>
            <w:tcW w:w="1513" w:type="dxa"/>
            <w:vMerge w:val="restart"/>
            <w:tcBorders>
              <w:top w:val="single" w:color="auto" w:sz="4" w:space="0"/>
              <w:left w:val="single" w:color="auto" w:sz="4" w:space="0"/>
              <w:right w:val="single" w:color="auto" w:sz="4" w:space="0"/>
            </w:tcBorders>
            <w:shd w:val="clear" w:color="auto" w:fill="auto"/>
            <w:vAlign w:val="center"/>
          </w:tcPr>
          <w:p>
            <w:pPr>
              <w:jc w:val="center"/>
              <w:rPr>
                <w:color w:val="000000"/>
                <w:sz w:val="20"/>
                <w:szCs w:val="20"/>
              </w:rPr>
            </w:pPr>
            <w:r>
              <w:rPr>
                <w:rFonts w:hint="eastAsia"/>
                <w:color w:val="000000"/>
                <w:sz w:val="20"/>
                <w:szCs w:val="20"/>
              </w:rPr>
              <w:t>提升精力、促动职场</w:t>
            </w:r>
          </w:p>
        </w:tc>
        <w:tc>
          <w:tcPr>
            <w:tcW w:w="3020" w:type="dxa"/>
            <w:vMerge w:val="restart"/>
            <w:tcBorders>
              <w:top w:val="single" w:color="auto" w:sz="4" w:space="0"/>
              <w:left w:val="single" w:color="auto" w:sz="4" w:space="0"/>
              <w:right w:val="single" w:color="auto" w:sz="4" w:space="0"/>
            </w:tcBorders>
            <w:shd w:val="clear" w:color="auto" w:fill="auto"/>
            <w:vAlign w:val="center"/>
          </w:tcPr>
          <w:p>
            <w:pPr>
              <w:rPr>
                <w:color w:val="000000"/>
                <w:sz w:val="20"/>
                <w:szCs w:val="20"/>
              </w:rPr>
            </w:pPr>
            <w:r>
              <w:rPr>
                <w:rFonts w:hint="eastAsia"/>
                <w:b/>
                <w:bCs/>
                <w:color w:val="000000"/>
                <w:sz w:val="20"/>
                <w:szCs w:val="20"/>
              </w:rPr>
              <w:t>靳蕊</w:t>
            </w:r>
            <w:r>
              <w:rPr>
                <w:rFonts w:hint="eastAsia"/>
                <w:color w:val="000000"/>
                <w:sz w:val="20"/>
                <w:szCs w:val="20"/>
              </w:rPr>
              <w:t>，北京市总工会职工讲师 承谦益行管理咨询有限公司 国际高级注册培训师</w:t>
            </w:r>
          </w:p>
        </w:tc>
        <w:tc>
          <w:tcPr>
            <w:tcW w:w="3007"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textAlignment w:val="center"/>
              <w:rPr>
                <w:b/>
                <w:bCs/>
                <w:color w:val="000000"/>
                <w:sz w:val="20"/>
                <w:szCs w:val="20"/>
              </w:rPr>
            </w:pPr>
            <w:r>
              <w:rPr>
                <w:rFonts w:hint="eastAsia"/>
                <w:b/>
                <w:bCs/>
                <w:color w:val="000000"/>
                <w:sz w:val="20"/>
                <w:szCs w:val="20"/>
              </w:rPr>
              <w:t>精力管理决定工作生活的质量</w:t>
            </w:r>
          </w:p>
        </w:tc>
        <w:tc>
          <w:tcPr>
            <w:tcW w:w="6680"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color w:val="000000"/>
                <w:sz w:val="20"/>
                <w:szCs w:val="20"/>
              </w:rPr>
            </w:pPr>
            <w:r>
              <w:rPr>
                <w:rFonts w:hint="eastAsia"/>
                <w:color w:val="000000"/>
                <w:sz w:val="20"/>
                <w:szCs w:val="20"/>
              </w:rPr>
              <w:t>不是时间不够用，而是精力没管好。通过阅读分享相关书籍，介绍影响精力的四个维度：体力、情绪、心理、价值观，配合多种便于应用的精力提升方法及精力管理训练系统，帮助职工提升精力的储备和质量，轻松驾驭来自于工作生活的任务和挑战。</w:t>
            </w:r>
          </w:p>
        </w:tc>
      </w:tr>
      <w:tr>
        <w:tblPrEx>
          <w:tblCellMar>
            <w:top w:w="0" w:type="dxa"/>
            <w:left w:w="108" w:type="dxa"/>
            <w:bottom w:w="0" w:type="dxa"/>
            <w:right w:w="108" w:type="dxa"/>
          </w:tblCellMar>
        </w:tblPrEx>
        <w:trPr>
          <w:trHeight w:val="799" w:hRule="atLeast"/>
        </w:trPr>
        <w:tc>
          <w:tcPr>
            <w:tcW w:w="707" w:type="dxa"/>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textAlignment w:val="center"/>
              <w:rPr>
                <w:color w:val="000000"/>
                <w:sz w:val="20"/>
                <w:szCs w:val="20"/>
              </w:rPr>
            </w:pPr>
            <w:r>
              <w:rPr>
                <w:rFonts w:hint="eastAsia"/>
                <w:color w:val="000000"/>
                <w:sz w:val="20"/>
                <w:szCs w:val="20"/>
              </w:rPr>
              <w:t>29</w:t>
            </w:r>
          </w:p>
        </w:tc>
        <w:tc>
          <w:tcPr>
            <w:tcW w:w="1513" w:type="dxa"/>
            <w:vMerge w:val="continue"/>
            <w:tcBorders>
              <w:left w:val="single" w:color="auto" w:sz="4" w:space="0"/>
              <w:right w:val="single" w:color="auto" w:sz="4" w:space="0"/>
            </w:tcBorders>
            <w:shd w:val="clear" w:color="auto" w:fill="auto"/>
            <w:vAlign w:val="center"/>
          </w:tcPr>
          <w:p>
            <w:pPr>
              <w:jc w:val="center"/>
              <w:rPr>
                <w:color w:val="000000"/>
                <w:sz w:val="20"/>
                <w:szCs w:val="20"/>
              </w:rPr>
            </w:pPr>
          </w:p>
        </w:tc>
        <w:tc>
          <w:tcPr>
            <w:tcW w:w="3020" w:type="dxa"/>
            <w:vMerge w:val="continue"/>
            <w:tcBorders>
              <w:left w:val="single" w:color="auto" w:sz="4" w:space="0"/>
              <w:right w:val="single" w:color="auto" w:sz="4" w:space="0"/>
            </w:tcBorders>
            <w:shd w:val="clear" w:color="auto" w:fill="auto"/>
            <w:vAlign w:val="center"/>
          </w:tcPr>
          <w:p>
            <w:pPr>
              <w:rPr>
                <w:color w:val="000000"/>
                <w:sz w:val="20"/>
                <w:szCs w:val="20"/>
              </w:rPr>
            </w:pPr>
          </w:p>
        </w:tc>
        <w:tc>
          <w:tcPr>
            <w:tcW w:w="3007"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textAlignment w:val="center"/>
              <w:rPr>
                <w:b/>
                <w:bCs/>
                <w:color w:val="000000"/>
                <w:sz w:val="20"/>
                <w:szCs w:val="20"/>
              </w:rPr>
            </w:pPr>
            <w:r>
              <w:rPr>
                <w:rFonts w:hint="eastAsia"/>
                <w:b/>
                <w:bCs/>
                <w:color w:val="000000"/>
                <w:sz w:val="20"/>
                <w:szCs w:val="20"/>
              </w:rPr>
              <w:t>睡眠与运动</w:t>
            </w:r>
            <w:r>
              <w:rPr>
                <w:b/>
                <w:bCs/>
                <w:color w:val="000000"/>
                <w:sz w:val="20"/>
                <w:szCs w:val="20"/>
              </w:rPr>
              <w:t>—</w:t>
            </w:r>
            <w:r>
              <w:rPr>
                <w:rFonts w:hint="eastAsia"/>
                <w:b/>
                <w:bCs/>
                <w:color w:val="000000"/>
                <w:sz w:val="20"/>
                <w:szCs w:val="20"/>
              </w:rPr>
              <w:t>一阴一阳提升生命能量</w:t>
            </w:r>
          </w:p>
        </w:tc>
        <w:tc>
          <w:tcPr>
            <w:tcW w:w="6680"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color w:val="000000"/>
                <w:sz w:val="20"/>
                <w:szCs w:val="20"/>
              </w:rPr>
            </w:pPr>
            <w:r>
              <w:rPr>
                <w:rFonts w:hint="eastAsia"/>
                <w:color w:val="000000"/>
                <w:sz w:val="20"/>
                <w:szCs w:val="20"/>
              </w:rPr>
              <w:t>通过阅读分享相关书籍，介绍适用于职场人士的睡眠休息方法和有益健康的运动理念、运动方式，帮助职工减少睡眠障碍、提高睡眠质量，了解科学健康的运动理念，掌握工作间隙、日常生活中便于操作的运动方法。</w:t>
            </w:r>
          </w:p>
        </w:tc>
      </w:tr>
      <w:tr>
        <w:tblPrEx>
          <w:tblCellMar>
            <w:top w:w="0" w:type="dxa"/>
            <w:left w:w="108" w:type="dxa"/>
            <w:bottom w:w="0" w:type="dxa"/>
            <w:right w:w="108" w:type="dxa"/>
          </w:tblCellMar>
        </w:tblPrEx>
        <w:trPr>
          <w:trHeight w:val="799" w:hRule="atLeast"/>
        </w:trPr>
        <w:tc>
          <w:tcPr>
            <w:tcW w:w="707" w:type="dxa"/>
            <w:tcBorders>
              <w:top w:val="single" w:color="000000" w:sz="4" w:space="0"/>
              <w:left w:val="single" w:color="000000" w:sz="4" w:space="0"/>
              <w:bottom w:val="single" w:color="auto" w:sz="4" w:space="0"/>
              <w:right w:val="single" w:color="auto" w:sz="4" w:space="0"/>
            </w:tcBorders>
            <w:shd w:val="clear" w:color="auto" w:fill="auto"/>
            <w:vAlign w:val="center"/>
          </w:tcPr>
          <w:p>
            <w:pPr>
              <w:jc w:val="center"/>
              <w:textAlignment w:val="center"/>
              <w:rPr>
                <w:color w:val="000000"/>
                <w:sz w:val="20"/>
                <w:szCs w:val="20"/>
              </w:rPr>
            </w:pPr>
            <w:r>
              <w:rPr>
                <w:rFonts w:hint="eastAsia"/>
                <w:color w:val="000000"/>
                <w:sz w:val="20"/>
                <w:szCs w:val="20"/>
              </w:rPr>
              <w:t>30</w:t>
            </w:r>
          </w:p>
        </w:tc>
        <w:tc>
          <w:tcPr>
            <w:tcW w:w="1513" w:type="dxa"/>
            <w:vMerge w:val="continue"/>
            <w:tcBorders>
              <w:left w:val="single" w:color="auto" w:sz="4" w:space="0"/>
              <w:bottom w:val="single" w:color="auto" w:sz="4" w:space="0"/>
              <w:right w:val="single" w:color="auto" w:sz="4" w:space="0"/>
            </w:tcBorders>
            <w:shd w:val="clear" w:color="auto" w:fill="auto"/>
            <w:vAlign w:val="center"/>
          </w:tcPr>
          <w:p>
            <w:pPr>
              <w:jc w:val="center"/>
              <w:rPr>
                <w:color w:val="000000"/>
                <w:sz w:val="20"/>
                <w:szCs w:val="20"/>
              </w:rPr>
            </w:pPr>
          </w:p>
        </w:tc>
        <w:tc>
          <w:tcPr>
            <w:tcW w:w="3020" w:type="dxa"/>
            <w:vMerge w:val="continue"/>
            <w:tcBorders>
              <w:left w:val="single" w:color="auto" w:sz="4" w:space="0"/>
              <w:bottom w:val="single" w:color="auto" w:sz="4" w:space="0"/>
              <w:right w:val="single" w:color="auto" w:sz="4" w:space="0"/>
            </w:tcBorders>
            <w:shd w:val="clear" w:color="auto" w:fill="auto"/>
            <w:vAlign w:val="center"/>
          </w:tcPr>
          <w:p>
            <w:pPr>
              <w:rPr>
                <w:color w:val="000000"/>
                <w:sz w:val="20"/>
                <w:szCs w:val="20"/>
              </w:rPr>
            </w:pPr>
          </w:p>
        </w:tc>
        <w:tc>
          <w:tcPr>
            <w:tcW w:w="3007"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textAlignment w:val="center"/>
              <w:rPr>
                <w:b/>
                <w:bCs/>
                <w:color w:val="000000"/>
                <w:sz w:val="20"/>
                <w:szCs w:val="20"/>
              </w:rPr>
            </w:pPr>
            <w:r>
              <w:rPr>
                <w:rFonts w:hint="eastAsia"/>
                <w:b/>
                <w:bCs/>
                <w:color w:val="000000"/>
                <w:sz w:val="20"/>
                <w:szCs w:val="20"/>
              </w:rPr>
              <w:t>告别“烦、忙”让时间倍增</w:t>
            </w:r>
          </w:p>
        </w:tc>
        <w:tc>
          <w:tcPr>
            <w:tcW w:w="6680"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color w:val="000000"/>
                <w:sz w:val="20"/>
                <w:szCs w:val="20"/>
              </w:rPr>
            </w:pPr>
            <w:r>
              <w:rPr>
                <w:rFonts w:hint="eastAsia"/>
                <w:color w:val="000000"/>
                <w:sz w:val="20"/>
                <w:szCs w:val="20"/>
              </w:rPr>
              <w:t>通过阅读分享相关书籍，学习新一代的时间管理方法，运用不同策略应对工作生活中的任务和挑战，告别压力下的焦虑、烦躁心态，提升专注力与时间价值。帮助职工学习时间管理、自我管理的理念和方法，提升工作生活效率。</w:t>
            </w:r>
          </w:p>
        </w:tc>
      </w:tr>
      <w:tr>
        <w:tblPrEx>
          <w:tblCellMar>
            <w:top w:w="0" w:type="dxa"/>
            <w:left w:w="108" w:type="dxa"/>
            <w:bottom w:w="0" w:type="dxa"/>
            <w:right w:w="108" w:type="dxa"/>
          </w:tblCellMar>
        </w:tblPrEx>
        <w:trPr>
          <w:trHeight w:val="799" w:hRule="atLeast"/>
        </w:trPr>
        <w:tc>
          <w:tcPr>
            <w:tcW w:w="70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color w:val="000000"/>
                <w:sz w:val="20"/>
                <w:szCs w:val="20"/>
              </w:rPr>
            </w:pPr>
            <w:r>
              <w:rPr>
                <w:rFonts w:hint="eastAsia"/>
                <w:color w:val="000000"/>
                <w:sz w:val="20"/>
                <w:szCs w:val="20"/>
              </w:rPr>
              <w:t>31</w:t>
            </w:r>
          </w:p>
        </w:tc>
        <w:tc>
          <w:tcPr>
            <w:tcW w:w="151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000000"/>
                <w:sz w:val="20"/>
                <w:szCs w:val="20"/>
              </w:rPr>
            </w:pPr>
            <w:r>
              <w:rPr>
                <w:rFonts w:hint="eastAsia"/>
                <w:color w:val="000000"/>
                <w:sz w:val="20"/>
                <w:szCs w:val="20"/>
              </w:rPr>
              <w:t>提升阅读能力，促进个人成长</w:t>
            </w:r>
          </w:p>
        </w:tc>
        <w:tc>
          <w:tcPr>
            <w:tcW w:w="3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rPr>
                <w:color w:val="000000"/>
                <w:sz w:val="20"/>
                <w:szCs w:val="20"/>
              </w:rPr>
            </w:pPr>
            <w:r>
              <w:rPr>
                <w:rFonts w:hint="eastAsia"/>
                <w:b/>
                <w:bCs/>
                <w:color w:val="000000"/>
                <w:sz w:val="20"/>
                <w:szCs w:val="20"/>
              </w:rPr>
              <w:t>宋家博</w:t>
            </w:r>
            <w:r>
              <w:rPr>
                <w:rFonts w:hint="eastAsia"/>
                <w:color w:val="000000"/>
                <w:sz w:val="20"/>
                <w:szCs w:val="20"/>
              </w:rPr>
              <w:t>，北京市总工会职工讲师，北京化工大学</w:t>
            </w:r>
          </w:p>
        </w:tc>
        <w:tc>
          <w:tcPr>
            <w:tcW w:w="3007"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textAlignment w:val="center"/>
              <w:rPr>
                <w:b/>
                <w:bCs/>
                <w:color w:val="000000"/>
                <w:sz w:val="20"/>
                <w:szCs w:val="20"/>
              </w:rPr>
            </w:pPr>
            <w:r>
              <w:rPr>
                <w:rFonts w:hint="eastAsia"/>
                <w:b/>
                <w:bCs/>
                <w:color w:val="000000"/>
                <w:sz w:val="20"/>
                <w:szCs w:val="20"/>
              </w:rPr>
              <w:t>掌握阅读方法，享受阅读乐趣</w:t>
            </w:r>
          </w:p>
        </w:tc>
        <w:tc>
          <w:tcPr>
            <w:tcW w:w="6680"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color w:val="000000"/>
                <w:sz w:val="20"/>
                <w:szCs w:val="20"/>
              </w:rPr>
            </w:pPr>
            <w:r>
              <w:rPr>
                <w:rFonts w:hint="eastAsia"/>
                <w:color w:val="000000"/>
                <w:sz w:val="20"/>
                <w:szCs w:val="20"/>
              </w:rPr>
              <w:t>通过阅读相关书籍，解决拿起书看不进去，看得慢，看不完，看不懂，记不住，用不着这六大问题，提升职工阅读能力，享受阅读乐趣，让阅读为终身学习成长助力。</w:t>
            </w:r>
          </w:p>
        </w:tc>
      </w:tr>
      <w:tr>
        <w:tblPrEx>
          <w:tblCellMar>
            <w:top w:w="0" w:type="dxa"/>
            <w:left w:w="108" w:type="dxa"/>
            <w:bottom w:w="0" w:type="dxa"/>
            <w:right w:w="108" w:type="dxa"/>
          </w:tblCellMar>
        </w:tblPrEx>
        <w:trPr>
          <w:trHeight w:val="799" w:hRule="atLeast"/>
        </w:trPr>
        <w:tc>
          <w:tcPr>
            <w:tcW w:w="707" w:type="dxa"/>
            <w:tcBorders>
              <w:top w:val="single" w:color="auto" w:sz="4" w:space="0"/>
              <w:left w:val="single" w:color="000000" w:sz="4" w:space="0"/>
              <w:bottom w:val="single" w:color="000000" w:sz="4" w:space="0"/>
              <w:right w:val="single" w:color="auto" w:sz="4" w:space="0"/>
            </w:tcBorders>
            <w:shd w:val="clear" w:color="auto" w:fill="auto"/>
            <w:vAlign w:val="center"/>
          </w:tcPr>
          <w:p>
            <w:pPr>
              <w:jc w:val="center"/>
              <w:textAlignment w:val="center"/>
              <w:rPr>
                <w:color w:val="000000"/>
                <w:sz w:val="20"/>
                <w:szCs w:val="20"/>
              </w:rPr>
            </w:pPr>
            <w:r>
              <w:rPr>
                <w:rFonts w:hint="eastAsia"/>
                <w:color w:val="000000"/>
                <w:sz w:val="20"/>
                <w:szCs w:val="20"/>
              </w:rPr>
              <w:t>32</w:t>
            </w:r>
          </w:p>
        </w:tc>
        <w:tc>
          <w:tcPr>
            <w:tcW w:w="1513" w:type="dxa"/>
            <w:vMerge w:val="continue"/>
            <w:tcBorders>
              <w:top w:val="single" w:color="auto" w:sz="4" w:space="0"/>
              <w:left w:val="single" w:color="auto" w:sz="4" w:space="0"/>
              <w:right w:val="single" w:color="auto" w:sz="4" w:space="0"/>
            </w:tcBorders>
            <w:shd w:val="clear" w:color="auto" w:fill="auto"/>
            <w:vAlign w:val="center"/>
          </w:tcPr>
          <w:p>
            <w:pPr>
              <w:jc w:val="center"/>
              <w:rPr>
                <w:color w:val="000000"/>
                <w:sz w:val="20"/>
                <w:szCs w:val="20"/>
              </w:rPr>
            </w:pPr>
          </w:p>
        </w:tc>
        <w:tc>
          <w:tcPr>
            <w:tcW w:w="3020" w:type="dxa"/>
            <w:vMerge w:val="continue"/>
            <w:tcBorders>
              <w:top w:val="single" w:color="auto" w:sz="4" w:space="0"/>
              <w:left w:val="single" w:color="auto" w:sz="4" w:space="0"/>
              <w:right w:val="single" w:color="auto" w:sz="4" w:space="0"/>
            </w:tcBorders>
            <w:shd w:val="clear" w:color="auto" w:fill="auto"/>
            <w:vAlign w:val="center"/>
          </w:tcPr>
          <w:p>
            <w:pPr>
              <w:rPr>
                <w:color w:val="000000"/>
                <w:sz w:val="20"/>
                <w:szCs w:val="20"/>
              </w:rPr>
            </w:pPr>
          </w:p>
        </w:tc>
        <w:tc>
          <w:tcPr>
            <w:tcW w:w="3007"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textAlignment w:val="center"/>
              <w:rPr>
                <w:b/>
                <w:bCs/>
                <w:color w:val="000000"/>
                <w:sz w:val="20"/>
                <w:szCs w:val="20"/>
              </w:rPr>
            </w:pPr>
            <w:r>
              <w:rPr>
                <w:rFonts w:hint="eastAsia"/>
                <w:b/>
                <w:bCs/>
                <w:color w:val="000000"/>
                <w:sz w:val="20"/>
                <w:szCs w:val="20"/>
              </w:rPr>
              <w:t>五步关系密码，享受融洽关系</w:t>
            </w:r>
          </w:p>
        </w:tc>
        <w:tc>
          <w:tcPr>
            <w:tcW w:w="6680"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color w:val="000000"/>
                <w:sz w:val="20"/>
                <w:szCs w:val="20"/>
              </w:rPr>
            </w:pPr>
            <w:r>
              <w:rPr>
                <w:rFonts w:hint="eastAsia"/>
                <w:color w:val="000000"/>
                <w:sz w:val="20"/>
                <w:szCs w:val="20"/>
              </w:rPr>
              <w:t>通过阅读相关书籍，探讨职场关系的奥秘，用改善关系五步法帮助大家建立良好的人际关系，提升团队协作效率，引领职工迈向更和谐的职场生活，共享企业美好未来。</w:t>
            </w:r>
          </w:p>
        </w:tc>
      </w:tr>
      <w:tr>
        <w:tblPrEx>
          <w:tblCellMar>
            <w:top w:w="0" w:type="dxa"/>
            <w:left w:w="108" w:type="dxa"/>
            <w:bottom w:w="0" w:type="dxa"/>
            <w:right w:w="108" w:type="dxa"/>
          </w:tblCellMar>
        </w:tblPrEx>
        <w:trPr>
          <w:trHeight w:val="799" w:hRule="atLeast"/>
        </w:trPr>
        <w:tc>
          <w:tcPr>
            <w:tcW w:w="707" w:type="dxa"/>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textAlignment w:val="center"/>
              <w:rPr>
                <w:color w:val="000000"/>
                <w:sz w:val="20"/>
                <w:szCs w:val="20"/>
              </w:rPr>
            </w:pPr>
            <w:r>
              <w:rPr>
                <w:rFonts w:hint="eastAsia"/>
                <w:color w:val="000000"/>
                <w:sz w:val="20"/>
                <w:szCs w:val="20"/>
              </w:rPr>
              <w:t>33</w:t>
            </w:r>
          </w:p>
        </w:tc>
        <w:tc>
          <w:tcPr>
            <w:tcW w:w="1513" w:type="dxa"/>
            <w:vMerge w:val="continue"/>
            <w:tcBorders>
              <w:left w:val="single" w:color="auto" w:sz="4" w:space="0"/>
              <w:bottom w:val="single" w:color="auto" w:sz="4" w:space="0"/>
              <w:right w:val="single" w:color="auto" w:sz="4" w:space="0"/>
            </w:tcBorders>
            <w:shd w:val="clear" w:color="auto" w:fill="auto"/>
            <w:vAlign w:val="center"/>
          </w:tcPr>
          <w:p>
            <w:pPr>
              <w:jc w:val="center"/>
              <w:rPr>
                <w:color w:val="000000"/>
                <w:sz w:val="20"/>
                <w:szCs w:val="20"/>
              </w:rPr>
            </w:pPr>
          </w:p>
        </w:tc>
        <w:tc>
          <w:tcPr>
            <w:tcW w:w="3020" w:type="dxa"/>
            <w:vMerge w:val="continue"/>
            <w:tcBorders>
              <w:left w:val="single" w:color="auto" w:sz="4" w:space="0"/>
              <w:bottom w:val="single" w:color="auto" w:sz="4" w:space="0"/>
              <w:right w:val="single" w:color="auto" w:sz="4" w:space="0"/>
            </w:tcBorders>
            <w:shd w:val="clear" w:color="auto" w:fill="auto"/>
            <w:vAlign w:val="center"/>
          </w:tcPr>
          <w:p>
            <w:pPr>
              <w:rPr>
                <w:color w:val="000000"/>
                <w:sz w:val="20"/>
                <w:szCs w:val="20"/>
              </w:rPr>
            </w:pPr>
          </w:p>
        </w:tc>
        <w:tc>
          <w:tcPr>
            <w:tcW w:w="3007"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textAlignment w:val="center"/>
              <w:rPr>
                <w:b/>
                <w:bCs/>
                <w:color w:val="000000"/>
                <w:sz w:val="20"/>
                <w:szCs w:val="20"/>
              </w:rPr>
            </w:pPr>
            <w:r>
              <w:rPr>
                <w:rFonts w:hint="eastAsia"/>
                <w:b/>
                <w:bCs/>
                <w:color w:val="000000"/>
                <w:sz w:val="20"/>
                <w:szCs w:val="20"/>
              </w:rPr>
              <w:t>提升心力，从容应对挑战</w:t>
            </w:r>
          </w:p>
        </w:tc>
        <w:tc>
          <w:tcPr>
            <w:tcW w:w="6680"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color w:val="000000"/>
                <w:sz w:val="20"/>
                <w:szCs w:val="20"/>
              </w:rPr>
            </w:pPr>
            <w:r>
              <w:rPr>
                <w:rFonts w:hint="eastAsia"/>
                <w:color w:val="000000"/>
                <w:sz w:val="20"/>
                <w:szCs w:val="20"/>
              </w:rPr>
              <w:t>通过阅读相关书籍，针对生活与职场的痛点，帮助职工疏通卡点，稳定心态，提升效率，减少消耗，打造强大抗压力与意志力的可复制技巧，帮助职工应对种种挑战。</w:t>
            </w:r>
          </w:p>
        </w:tc>
      </w:tr>
    </w:tbl>
    <w:p>
      <w:pPr>
        <w:pStyle w:val="6"/>
        <w:adjustRightInd w:val="0"/>
        <w:snapToGrid w:val="0"/>
        <w:spacing w:before="0" w:beforeAutospacing="0" w:after="0" w:afterAutospacing="0" w:line="560" w:lineRule="exact"/>
        <w:ind w:right="1303"/>
        <w:jc w:val="center"/>
        <w:rPr>
          <w:rFonts w:ascii="方正小标宋简体" w:eastAsia="方正小标宋简体"/>
          <w:sz w:val="36"/>
          <w:szCs w:val="36"/>
        </w:rPr>
      </w:pPr>
      <w:r>
        <w:rPr>
          <w:rFonts w:ascii="方正小标宋简体" w:eastAsia="方正小标宋简体"/>
          <w:sz w:val="36"/>
          <w:szCs w:val="36"/>
        </w:rPr>
        <w:t xml:space="preserve">     </w:t>
      </w:r>
    </w:p>
    <w:p>
      <w:pPr>
        <w:pStyle w:val="6"/>
        <w:adjustRightInd w:val="0"/>
        <w:snapToGrid w:val="0"/>
        <w:spacing w:before="0" w:beforeAutospacing="0" w:after="0" w:afterAutospacing="0" w:line="560" w:lineRule="exact"/>
        <w:ind w:right="1303"/>
        <w:rPr>
          <w:rFonts w:ascii="黑体" w:hAnsi="黑体" w:eastAsia="黑体"/>
          <w:sz w:val="32"/>
          <w:szCs w:val="32"/>
        </w:rPr>
      </w:pPr>
    </w:p>
    <w:p>
      <w:pPr>
        <w:pStyle w:val="6"/>
        <w:adjustRightInd w:val="0"/>
        <w:snapToGrid w:val="0"/>
        <w:spacing w:before="0" w:beforeAutospacing="0" w:after="0" w:afterAutospacing="0" w:line="560" w:lineRule="exact"/>
        <w:ind w:right="1303"/>
        <w:rPr>
          <w:rFonts w:ascii="黑体" w:hAnsi="黑体" w:eastAsia="黑体"/>
          <w:sz w:val="32"/>
          <w:szCs w:val="32"/>
        </w:rPr>
        <w:sectPr>
          <w:pgSz w:w="16838" w:h="11906" w:orient="landscape"/>
          <w:pgMar w:top="1588" w:right="2098" w:bottom="1474" w:left="1985" w:header="851" w:footer="992" w:gutter="0"/>
          <w:cols w:space="425" w:num="1"/>
          <w:docGrid w:type="linesAndChars" w:linePitch="326" w:charSpace="0"/>
        </w:sectPr>
      </w:pPr>
    </w:p>
    <w:bookmarkEnd w:id="0"/>
    <w:bookmarkEnd w:id="1"/>
    <w:p>
      <w:pPr>
        <w:pStyle w:val="6"/>
        <w:adjustRightInd w:val="0"/>
        <w:snapToGrid w:val="0"/>
        <w:spacing w:before="0" w:beforeAutospacing="0" w:after="0" w:afterAutospacing="0" w:line="560" w:lineRule="exact"/>
        <w:ind w:right="1303"/>
        <w:rPr>
          <w:rFonts w:ascii="方正小标宋简体" w:eastAsia="方正小标宋简体"/>
          <w:sz w:val="36"/>
          <w:szCs w:val="36"/>
        </w:rPr>
      </w:pPr>
      <w:r>
        <w:rPr>
          <w:rFonts w:hint="eastAsia" w:ascii="黑体" w:hAnsi="黑体" w:eastAsia="黑体"/>
          <w:sz w:val="32"/>
          <w:szCs w:val="32"/>
        </w:rPr>
        <w:t>附表</w:t>
      </w:r>
      <w:r>
        <w:rPr>
          <w:rFonts w:ascii="黑体" w:hAnsi="黑体" w:eastAsia="黑体"/>
          <w:sz w:val="32"/>
          <w:szCs w:val="32"/>
        </w:rPr>
        <w:t>2</w:t>
      </w:r>
      <w:r>
        <w:rPr>
          <w:rFonts w:hint="eastAsia" w:ascii="黑体" w:hAnsi="黑体" w:eastAsia="黑体"/>
          <w:sz w:val="32"/>
          <w:szCs w:val="32"/>
        </w:rPr>
        <w:t xml:space="preserve"> </w:t>
      </w:r>
    </w:p>
    <w:p>
      <w:pPr>
        <w:pStyle w:val="6"/>
        <w:snapToGrid w:val="0"/>
        <w:spacing w:before="0" w:beforeAutospacing="0" w:after="163" w:afterLines="50" w:afterAutospacing="0" w:line="560" w:lineRule="exact"/>
        <w:jc w:val="center"/>
        <w:rPr>
          <w:rFonts w:ascii="方正小标宋简体" w:eastAsia="方正小标宋简体"/>
          <w:sz w:val="36"/>
          <w:szCs w:val="36"/>
        </w:rPr>
      </w:pPr>
      <w:r>
        <w:rPr>
          <w:rFonts w:hint="eastAsia" w:ascii="方正小标宋简体" w:eastAsia="方正小标宋简体"/>
          <w:sz w:val="36"/>
          <w:szCs w:val="36"/>
          <w:lang w:eastAsia="zh-CN"/>
        </w:rPr>
        <w:t>首都示范性工匠学院</w:t>
      </w:r>
      <w:r>
        <w:rPr>
          <w:rFonts w:ascii="方正小标宋简体" w:eastAsia="方正小标宋简体"/>
          <w:sz w:val="36"/>
          <w:szCs w:val="36"/>
        </w:rPr>
        <w:t>202</w:t>
      </w:r>
      <w:r>
        <w:rPr>
          <w:rFonts w:hint="eastAsia" w:ascii="方正小标宋简体" w:eastAsia="方正小标宋简体"/>
          <w:sz w:val="36"/>
          <w:szCs w:val="36"/>
          <w:lang w:val="en-US" w:eastAsia="zh-CN"/>
        </w:rPr>
        <w:t>5</w:t>
      </w:r>
      <w:r>
        <w:rPr>
          <w:rFonts w:ascii="方正小标宋简体" w:eastAsia="方正小标宋简体"/>
          <w:sz w:val="36"/>
          <w:szCs w:val="36"/>
        </w:rPr>
        <w:t>年</w:t>
      </w:r>
      <w:r>
        <w:rPr>
          <w:rFonts w:hint="eastAsia" w:ascii="方正小标宋简体" w:eastAsia="方正小标宋简体"/>
          <w:sz w:val="36"/>
          <w:szCs w:val="36"/>
        </w:rPr>
        <w:t>职工读书活动申报表</w:t>
      </w:r>
    </w:p>
    <w:p>
      <w:pPr>
        <w:pStyle w:val="6"/>
        <w:snapToGrid w:val="0"/>
        <w:spacing w:before="0" w:beforeAutospacing="0" w:after="163" w:afterLines="50" w:afterAutospacing="0" w:line="560" w:lineRule="exact"/>
        <w:rPr>
          <w:rFonts w:ascii="仿宋_GB2312" w:eastAsia="仿宋_GB2312" w:hAnsiTheme="minorEastAsia"/>
        </w:rPr>
      </w:pPr>
      <w:r>
        <w:rPr>
          <w:rFonts w:hint="eastAsia" w:ascii="仿宋_GB2312" w:eastAsia="仿宋_GB2312" w:hAnsiTheme="minorEastAsia"/>
          <w:kern w:val="2"/>
        </w:rPr>
        <w:t>组织单位名称：</w:t>
      </w:r>
    </w:p>
    <w:tbl>
      <w:tblPr>
        <w:tblStyle w:val="7"/>
        <w:tblW w:w="887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50"/>
        <w:gridCol w:w="1435"/>
        <w:gridCol w:w="1090"/>
        <w:gridCol w:w="755"/>
        <w:gridCol w:w="711"/>
        <w:gridCol w:w="1274"/>
        <w:gridCol w:w="165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950" w:type="dxa"/>
            <w:vAlign w:val="center"/>
          </w:tcPr>
          <w:p>
            <w:pPr>
              <w:widowControl w:val="0"/>
              <w:jc w:val="center"/>
              <w:rPr>
                <w:rFonts w:ascii="仿宋_GB2312" w:eastAsia="仿宋_GB2312" w:cs="仿宋_GB2312" w:hAnsiTheme="minorEastAsia"/>
                <w:kern w:val="2"/>
              </w:rPr>
            </w:pPr>
            <w:r>
              <w:rPr>
                <w:rFonts w:hint="eastAsia" w:ascii="仿宋_GB2312" w:eastAsia="仿宋_GB2312" w:cs="仿宋_GB2312" w:hAnsiTheme="minorEastAsia"/>
                <w:kern w:val="2"/>
              </w:rPr>
              <w:t>课程名称</w:t>
            </w:r>
          </w:p>
        </w:tc>
        <w:tc>
          <w:tcPr>
            <w:tcW w:w="1435" w:type="dxa"/>
            <w:vAlign w:val="center"/>
          </w:tcPr>
          <w:p>
            <w:pPr>
              <w:jc w:val="center"/>
              <w:rPr>
                <w:rFonts w:ascii="仿宋_GB2312" w:eastAsia="仿宋_GB2312" w:hAnsiTheme="minorEastAsia"/>
              </w:rPr>
            </w:pPr>
          </w:p>
        </w:tc>
        <w:tc>
          <w:tcPr>
            <w:tcW w:w="1845" w:type="dxa"/>
            <w:gridSpan w:val="2"/>
            <w:vAlign w:val="center"/>
          </w:tcPr>
          <w:p>
            <w:pPr>
              <w:jc w:val="center"/>
              <w:rPr>
                <w:rFonts w:ascii="仿宋_GB2312" w:eastAsia="仿宋_GB2312" w:hAnsiTheme="minorEastAsia"/>
              </w:rPr>
            </w:pPr>
            <w:r>
              <w:rPr>
                <w:rFonts w:hint="eastAsia" w:ascii="仿宋_GB2312" w:eastAsia="仿宋_GB2312" w:hAnsiTheme="minorEastAsia"/>
              </w:rPr>
              <w:t>活动主题</w:t>
            </w:r>
          </w:p>
        </w:tc>
        <w:tc>
          <w:tcPr>
            <w:tcW w:w="3641" w:type="dxa"/>
            <w:gridSpan w:val="3"/>
            <w:vAlign w:val="center"/>
          </w:tcPr>
          <w:p>
            <w:pPr>
              <w:jc w:val="center"/>
              <w:rPr>
                <w:rFonts w:ascii="仿宋_GB2312" w:eastAsia="仿宋_GB2312" w:hAnsiTheme="minorEastAsi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950" w:type="dxa"/>
            <w:vAlign w:val="center"/>
          </w:tcPr>
          <w:p>
            <w:pPr>
              <w:widowControl w:val="0"/>
              <w:jc w:val="center"/>
              <w:rPr>
                <w:rFonts w:ascii="仿宋_GB2312" w:eastAsia="仿宋_GB2312" w:cs="仿宋_GB2312" w:hAnsiTheme="minorEastAsia"/>
                <w:kern w:val="2"/>
              </w:rPr>
            </w:pPr>
            <w:r>
              <w:rPr>
                <w:rFonts w:hint="eastAsia" w:ascii="仿宋_GB2312" w:eastAsia="仿宋_GB2312" w:cs="仿宋_GB2312" w:hAnsiTheme="minorEastAsia"/>
                <w:kern w:val="2"/>
              </w:rPr>
              <w:t>主讲人姓名</w:t>
            </w:r>
          </w:p>
        </w:tc>
        <w:tc>
          <w:tcPr>
            <w:tcW w:w="1435" w:type="dxa"/>
            <w:vAlign w:val="center"/>
          </w:tcPr>
          <w:p>
            <w:pPr>
              <w:widowControl w:val="0"/>
              <w:jc w:val="center"/>
              <w:rPr>
                <w:rFonts w:ascii="仿宋_GB2312" w:eastAsia="仿宋_GB2312" w:cs="仿宋_GB2312" w:hAnsiTheme="minorEastAsia"/>
                <w:kern w:val="2"/>
              </w:rPr>
            </w:pPr>
          </w:p>
        </w:tc>
        <w:tc>
          <w:tcPr>
            <w:tcW w:w="1845" w:type="dxa"/>
            <w:gridSpan w:val="2"/>
            <w:vAlign w:val="center"/>
          </w:tcPr>
          <w:p>
            <w:pPr>
              <w:widowControl w:val="0"/>
              <w:jc w:val="center"/>
              <w:rPr>
                <w:rFonts w:ascii="仿宋_GB2312" w:eastAsia="仿宋_GB2312" w:cs="仿宋_GB2312" w:hAnsiTheme="minorEastAsia"/>
                <w:kern w:val="2"/>
              </w:rPr>
            </w:pPr>
            <w:r>
              <w:rPr>
                <w:rFonts w:hint="eastAsia" w:ascii="仿宋_GB2312" w:eastAsia="仿宋_GB2312" w:cs="仿宋_GB2312" w:hAnsiTheme="minorEastAsia"/>
                <w:kern w:val="2"/>
              </w:rPr>
              <w:t>预期举办时间</w:t>
            </w:r>
          </w:p>
        </w:tc>
        <w:tc>
          <w:tcPr>
            <w:tcW w:w="3641" w:type="dxa"/>
            <w:gridSpan w:val="3"/>
            <w:vAlign w:val="center"/>
          </w:tcPr>
          <w:p>
            <w:pPr>
              <w:widowControl w:val="0"/>
              <w:jc w:val="right"/>
              <w:rPr>
                <w:rFonts w:ascii="仿宋_GB2312" w:eastAsia="仿宋_GB2312" w:cs="仿宋_GB2312" w:hAnsiTheme="minorEastAsia"/>
                <w:kern w:val="2"/>
              </w:rPr>
            </w:pPr>
            <w:r>
              <w:rPr>
                <w:rFonts w:hint="eastAsia" w:ascii="仿宋_GB2312" w:eastAsia="仿宋_GB2312" w:cs="仿宋_GB2312" w:hAnsiTheme="minorEastAsia"/>
                <w:kern w:val="2"/>
              </w:rPr>
              <w:t>（格式范例：</w:t>
            </w:r>
            <w:r>
              <w:rPr>
                <w:rFonts w:hint="eastAsia" w:ascii="仿宋_GB2312" w:eastAsia="仿宋_GB2312" w:cs="仿宋_GB2312" w:hAnsiTheme="minorEastAsia"/>
                <w:kern w:val="2"/>
                <w:lang w:val="en-US" w:eastAsia="zh-CN"/>
              </w:rPr>
              <w:t>xx</w:t>
            </w:r>
            <w:r>
              <w:rPr>
                <w:rFonts w:hint="eastAsia" w:ascii="仿宋_GB2312" w:eastAsia="仿宋_GB2312" w:cs="仿宋_GB2312" w:hAnsiTheme="minorEastAsia"/>
                <w:kern w:val="2"/>
              </w:rPr>
              <w:t>月</w:t>
            </w:r>
            <w:r>
              <w:rPr>
                <w:rFonts w:hint="eastAsia" w:ascii="仿宋_GB2312" w:eastAsia="仿宋_GB2312" w:cs="仿宋_GB2312" w:hAnsiTheme="minorEastAsia"/>
                <w:kern w:val="2"/>
                <w:lang w:val="en-US" w:eastAsia="zh-CN"/>
              </w:rPr>
              <w:t>xx</w:t>
            </w:r>
            <w:r>
              <w:rPr>
                <w:rFonts w:hint="eastAsia" w:ascii="仿宋_GB2312" w:eastAsia="仿宋_GB2312" w:cs="仿宋_GB2312" w:hAnsiTheme="minorEastAsia"/>
                <w:kern w:val="2"/>
              </w:rPr>
              <w:t>日上午）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35" w:hRule="exact"/>
          <w:jc w:val="center"/>
        </w:trPr>
        <w:tc>
          <w:tcPr>
            <w:tcW w:w="1950" w:type="dxa"/>
            <w:tcBorders>
              <w:top w:val="single" w:color="auto" w:sz="4" w:space="0"/>
            </w:tcBorders>
            <w:vAlign w:val="center"/>
          </w:tcPr>
          <w:p>
            <w:pPr>
              <w:widowControl w:val="0"/>
              <w:jc w:val="center"/>
              <w:rPr>
                <w:rFonts w:ascii="仿宋_GB2312" w:eastAsia="仿宋_GB2312" w:cs="仿宋_GB2312" w:hAnsiTheme="minorEastAsia"/>
                <w:kern w:val="2"/>
              </w:rPr>
            </w:pPr>
            <w:r>
              <w:rPr>
                <w:rFonts w:hint="eastAsia" w:ascii="仿宋_GB2312" w:eastAsia="仿宋_GB2312" w:cs="仿宋_GB2312" w:hAnsiTheme="minorEastAsia"/>
                <w:kern w:val="2"/>
              </w:rPr>
              <w:t>活动介绍</w:t>
            </w:r>
          </w:p>
        </w:tc>
        <w:tc>
          <w:tcPr>
            <w:tcW w:w="6921" w:type="dxa"/>
            <w:gridSpan w:val="6"/>
            <w:tcBorders>
              <w:top w:val="single" w:color="auto" w:sz="4" w:space="0"/>
            </w:tcBorders>
          </w:tcPr>
          <w:p>
            <w:pPr>
              <w:rPr>
                <w:rFonts w:ascii="仿宋_GB2312" w:eastAsia="仿宋_GB2312" w:hAnsiTheme="minorEastAsia"/>
              </w:rPr>
            </w:pPr>
            <w:r>
              <w:rPr>
                <w:rFonts w:hint="eastAsia" w:ascii="仿宋_GB2312" w:eastAsia="仿宋_GB2312" w:hAnsiTheme="minorEastAsia"/>
              </w:rPr>
              <w:t>（请简要说明活动特色、活动背景、举办地点、参与人数、预期效果，200字左右，可另附）</w:t>
            </w:r>
          </w:p>
          <w:p>
            <w:pPr>
              <w:rPr>
                <w:rFonts w:ascii="仿宋_GB2312" w:eastAsia="仿宋_GB2312" w:hAnsiTheme="minorEastAsi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4475" w:type="dxa"/>
            <w:gridSpan w:val="3"/>
            <w:vAlign w:val="center"/>
          </w:tcPr>
          <w:p>
            <w:pPr>
              <w:widowControl w:val="0"/>
              <w:jc w:val="center"/>
              <w:rPr>
                <w:rFonts w:ascii="仿宋_GB2312" w:eastAsia="仿宋_GB2312" w:hAnsiTheme="minorEastAsia"/>
                <w:kern w:val="2"/>
              </w:rPr>
            </w:pPr>
            <w:r>
              <w:rPr>
                <w:rFonts w:hint="eastAsia" w:ascii="仿宋_GB2312" w:eastAsia="仿宋_GB2312" w:cs="仿宋_GB2312" w:hAnsiTheme="minorEastAsia"/>
                <w:kern w:val="2"/>
              </w:rPr>
              <w:t>是否为首都职工教育培训示范点</w:t>
            </w:r>
          </w:p>
        </w:tc>
        <w:tc>
          <w:tcPr>
            <w:tcW w:w="4396" w:type="dxa"/>
            <w:gridSpan w:val="4"/>
            <w:vAlign w:val="center"/>
          </w:tcPr>
          <w:p>
            <w:pPr>
              <w:widowControl w:val="0"/>
              <w:jc w:val="center"/>
              <w:rPr>
                <w:rFonts w:ascii="仿宋_GB2312" w:eastAsia="仿宋_GB2312" w:hAnsiTheme="minorEastAsia"/>
                <w:kern w:val="2"/>
              </w:rPr>
            </w:pPr>
            <w:r>
              <w:rPr>
                <w:rFonts w:hint="eastAsia" w:ascii="仿宋_GB2312" w:eastAsia="仿宋_GB2312" w:hAnsiTheme="minorEastAsia"/>
              </w:rPr>
              <w:t>□是        □否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4475" w:type="dxa"/>
            <w:gridSpan w:val="3"/>
            <w:vAlign w:val="center"/>
          </w:tcPr>
          <w:p>
            <w:pPr>
              <w:widowControl w:val="0"/>
              <w:jc w:val="center"/>
              <w:rPr>
                <w:rFonts w:ascii="仿宋_GB2312" w:eastAsia="仿宋_GB2312" w:cs="仿宋_GB2312" w:hAnsiTheme="minorEastAsia"/>
                <w:kern w:val="2"/>
              </w:rPr>
            </w:pPr>
            <w:r>
              <w:rPr>
                <w:rFonts w:hint="eastAsia" w:ascii="仿宋_GB2312" w:eastAsia="仿宋_GB2312" w:cs="仿宋_GB2312" w:hAnsiTheme="minorEastAsia"/>
                <w:kern w:val="2"/>
              </w:rPr>
              <w:t>是否属于高精尖产业</w:t>
            </w:r>
          </w:p>
        </w:tc>
        <w:tc>
          <w:tcPr>
            <w:tcW w:w="4396" w:type="dxa"/>
            <w:gridSpan w:val="4"/>
            <w:vAlign w:val="center"/>
          </w:tcPr>
          <w:p>
            <w:pPr>
              <w:widowControl w:val="0"/>
              <w:jc w:val="center"/>
              <w:rPr>
                <w:rFonts w:ascii="仿宋_GB2312" w:eastAsia="仿宋_GB2312" w:hAnsiTheme="minorEastAsia"/>
              </w:rPr>
            </w:pPr>
            <w:r>
              <w:rPr>
                <w:rFonts w:hint="eastAsia" w:ascii="仿宋_GB2312" w:eastAsia="仿宋_GB2312" w:hAnsiTheme="minorEastAsia"/>
              </w:rPr>
              <w:t>□是        □否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4475" w:type="dxa"/>
            <w:gridSpan w:val="3"/>
            <w:vAlign w:val="center"/>
          </w:tcPr>
          <w:p>
            <w:pPr>
              <w:widowControl w:val="0"/>
              <w:jc w:val="center"/>
              <w:rPr>
                <w:rFonts w:ascii="仿宋_GB2312" w:eastAsia="仿宋_GB2312" w:cs="仿宋_GB2312" w:hAnsiTheme="minorEastAsia"/>
                <w:kern w:val="2"/>
              </w:rPr>
            </w:pPr>
            <w:r>
              <w:rPr>
                <w:rFonts w:hint="eastAsia" w:ascii="仿宋_GB2312" w:eastAsia="仿宋_GB2312" w:cs="仿宋_GB2312" w:hAnsiTheme="minorEastAsia"/>
                <w:kern w:val="2"/>
              </w:rPr>
              <w:t>是否为新业态领域</w:t>
            </w:r>
          </w:p>
        </w:tc>
        <w:tc>
          <w:tcPr>
            <w:tcW w:w="4396" w:type="dxa"/>
            <w:gridSpan w:val="4"/>
            <w:vAlign w:val="center"/>
          </w:tcPr>
          <w:p>
            <w:pPr>
              <w:widowControl w:val="0"/>
              <w:jc w:val="center"/>
              <w:rPr>
                <w:rFonts w:ascii="仿宋_GB2312" w:eastAsia="仿宋_GB2312" w:hAnsiTheme="minorEastAsia"/>
              </w:rPr>
            </w:pPr>
            <w:r>
              <w:rPr>
                <w:rFonts w:hint="eastAsia" w:ascii="仿宋_GB2312" w:eastAsia="仿宋_GB2312" w:hAnsiTheme="minorEastAsia"/>
              </w:rPr>
              <w:t>□是        □否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exact"/>
          <w:jc w:val="center"/>
        </w:trPr>
        <w:tc>
          <w:tcPr>
            <w:tcW w:w="4475" w:type="dxa"/>
            <w:gridSpan w:val="3"/>
            <w:vAlign w:val="center"/>
          </w:tcPr>
          <w:p>
            <w:pPr>
              <w:widowControl w:val="0"/>
              <w:jc w:val="center"/>
              <w:rPr>
                <w:rFonts w:ascii="仿宋_GB2312" w:eastAsia="仿宋_GB2312" w:cs="仿宋_GB2312" w:hAnsiTheme="minorEastAsia"/>
                <w:kern w:val="2"/>
              </w:rPr>
            </w:pPr>
            <w:r>
              <w:rPr>
                <w:rFonts w:hint="eastAsia" w:ascii="仿宋_GB2312" w:eastAsia="仿宋_GB2312" w:cs="仿宋_GB2312" w:hAnsiTheme="minorEastAsia"/>
                <w:kern w:val="2"/>
              </w:rPr>
              <w:t>是否为北京大工匠、劳动模范、创新工作室领军人所在单位</w:t>
            </w:r>
          </w:p>
        </w:tc>
        <w:tc>
          <w:tcPr>
            <w:tcW w:w="4396" w:type="dxa"/>
            <w:gridSpan w:val="4"/>
            <w:vAlign w:val="center"/>
          </w:tcPr>
          <w:p>
            <w:pPr>
              <w:widowControl w:val="0"/>
              <w:jc w:val="center"/>
              <w:rPr>
                <w:rFonts w:ascii="仿宋_GB2312" w:eastAsia="仿宋_GB2312" w:hAnsiTheme="minorEastAsia"/>
              </w:rPr>
            </w:pPr>
            <w:r>
              <w:rPr>
                <w:rFonts w:hint="eastAsia" w:ascii="仿宋_GB2312" w:eastAsia="仿宋_GB2312" w:hAnsiTheme="minorEastAsia"/>
              </w:rPr>
              <w:t>□是        □否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950" w:type="dxa"/>
            <w:vAlign w:val="center"/>
          </w:tcPr>
          <w:p>
            <w:pPr>
              <w:widowControl w:val="0"/>
              <w:jc w:val="center"/>
              <w:rPr>
                <w:rFonts w:ascii="仿宋_GB2312" w:eastAsia="仿宋_GB2312" w:cs="仿宋_GB2312" w:hAnsiTheme="minorEastAsia"/>
                <w:kern w:val="2"/>
              </w:rPr>
            </w:pPr>
            <w:r>
              <w:rPr>
                <w:rFonts w:hint="eastAsia" w:ascii="仿宋_GB2312" w:eastAsia="仿宋_GB2312" w:cs="仿宋_GB2312" w:hAnsiTheme="minorEastAsia"/>
                <w:kern w:val="2"/>
              </w:rPr>
              <w:t>负责人姓名</w:t>
            </w:r>
          </w:p>
        </w:tc>
        <w:tc>
          <w:tcPr>
            <w:tcW w:w="1435" w:type="dxa"/>
            <w:vAlign w:val="center"/>
          </w:tcPr>
          <w:p>
            <w:pPr>
              <w:widowControl w:val="0"/>
              <w:jc w:val="center"/>
              <w:rPr>
                <w:rFonts w:ascii="仿宋_GB2312" w:eastAsia="仿宋_GB2312" w:hAnsiTheme="minorEastAsia"/>
                <w:kern w:val="2"/>
              </w:rPr>
            </w:pPr>
          </w:p>
        </w:tc>
        <w:tc>
          <w:tcPr>
            <w:tcW w:w="1090" w:type="dxa"/>
            <w:vAlign w:val="center"/>
          </w:tcPr>
          <w:p>
            <w:pPr>
              <w:widowControl w:val="0"/>
              <w:jc w:val="center"/>
              <w:rPr>
                <w:rFonts w:ascii="仿宋_GB2312" w:eastAsia="仿宋_GB2312" w:cs="仿宋_GB2312" w:hAnsiTheme="minorEastAsia"/>
                <w:kern w:val="2"/>
              </w:rPr>
            </w:pPr>
            <w:r>
              <w:rPr>
                <w:rFonts w:hint="eastAsia" w:ascii="仿宋_GB2312" w:eastAsia="仿宋_GB2312" w:cs="仿宋_GB2312" w:hAnsiTheme="minorEastAsia"/>
                <w:kern w:val="2"/>
              </w:rPr>
              <w:t>职务</w:t>
            </w:r>
          </w:p>
        </w:tc>
        <w:tc>
          <w:tcPr>
            <w:tcW w:w="1466" w:type="dxa"/>
            <w:gridSpan w:val="2"/>
            <w:vAlign w:val="center"/>
          </w:tcPr>
          <w:p>
            <w:pPr>
              <w:widowControl w:val="0"/>
              <w:jc w:val="center"/>
              <w:rPr>
                <w:rFonts w:ascii="仿宋_GB2312" w:eastAsia="仿宋_GB2312" w:cs="仿宋_GB2312" w:hAnsiTheme="minorEastAsia"/>
                <w:kern w:val="2"/>
              </w:rPr>
            </w:pPr>
          </w:p>
        </w:tc>
        <w:tc>
          <w:tcPr>
            <w:tcW w:w="1274" w:type="dxa"/>
            <w:vAlign w:val="center"/>
          </w:tcPr>
          <w:p>
            <w:pPr>
              <w:widowControl w:val="0"/>
              <w:jc w:val="center"/>
              <w:rPr>
                <w:rFonts w:ascii="仿宋_GB2312" w:eastAsia="仿宋_GB2312" w:cs="仿宋_GB2312" w:hAnsiTheme="minorEastAsia"/>
                <w:kern w:val="2"/>
              </w:rPr>
            </w:pPr>
            <w:r>
              <w:rPr>
                <w:rFonts w:hint="eastAsia" w:ascii="仿宋_GB2312" w:eastAsia="仿宋_GB2312" w:cs="仿宋_GB2312" w:hAnsiTheme="minorEastAsia"/>
                <w:kern w:val="2"/>
              </w:rPr>
              <w:t>联系方式</w:t>
            </w:r>
          </w:p>
        </w:tc>
        <w:tc>
          <w:tcPr>
            <w:tcW w:w="1656" w:type="dxa"/>
            <w:vAlign w:val="center"/>
          </w:tcPr>
          <w:p>
            <w:pPr>
              <w:widowControl w:val="0"/>
              <w:jc w:val="center"/>
              <w:rPr>
                <w:rFonts w:ascii="仿宋_GB2312" w:eastAsia="仿宋_GB2312" w:hAnsiTheme="minorEastAsia"/>
                <w:kern w:val="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950" w:type="dxa"/>
            <w:vAlign w:val="center"/>
          </w:tcPr>
          <w:p>
            <w:pPr>
              <w:widowControl w:val="0"/>
              <w:jc w:val="center"/>
              <w:rPr>
                <w:rFonts w:ascii="仿宋_GB2312" w:eastAsia="仿宋_GB2312" w:cs="仿宋_GB2312" w:hAnsiTheme="minorEastAsia"/>
                <w:kern w:val="2"/>
              </w:rPr>
            </w:pPr>
            <w:r>
              <w:rPr>
                <w:rFonts w:hint="eastAsia" w:ascii="仿宋_GB2312" w:eastAsia="仿宋_GB2312" w:cs="仿宋_GB2312" w:hAnsiTheme="minorEastAsia"/>
                <w:kern w:val="2"/>
              </w:rPr>
              <w:t>经办人姓名</w:t>
            </w:r>
          </w:p>
        </w:tc>
        <w:tc>
          <w:tcPr>
            <w:tcW w:w="1435" w:type="dxa"/>
            <w:vAlign w:val="center"/>
          </w:tcPr>
          <w:p>
            <w:pPr>
              <w:widowControl w:val="0"/>
              <w:jc w:val="center"/>
              <w:rPr>
                <w:rFonts w:ascii="仿宋_GB2312" w:eastAsia="仿宋_GB2312" w:hAnsiTheme="minorEastAsia"/>
                <w:kern w:val="2"/>
              </w:rPr>
            </w:pPr>
          </w:p>
        </w:tc>
        <w:tc>
          <w:tcPr>
            <w:tcW w:w="1090" w:type="dxa"/>
            <w:vAlign w:val="center"/>
          </w:tcPr>
          <w:p>
            <w:pPr>
              <w:widowControl w:val="0"/>
              <w:jc w:val="center"/>
              <w:rPr>
                <w:rFonts w:ascii="仿宋_GB2312" w:eastAsia="仿宋_GB2312" w:cs="仿宋_GB2312" w:hAnsiTheme="minorEastAsia"/>
                <w:kern w:val="2"/>
              </w:rPr>
            </w:pPr>
            <w:r>
              <w:rPr>
                <w:rFonts w:hint="eastAsia" w:ascii="仿宋_GB2312" w:eastAsia="仿宋_GB2312" w:cs="仿宋_GB2312" w:hAnsiTheme="minorEastAsia"/>
                <w:kern w:val="2"/>
              </w:rPr>
              <w:t>职务</w:t>
            </w:r>
          </w:p>
        </w:tc>
        <w:tc>
          <w:tcPr>
            <w:tcW w:w="1466" w:type="dxa"/>
            <w:gridSpan w:val="2"/>
            <w:vAlign w:val="center"/>
          </w:tcPr>
          <w:p>
            <w:pPr>
              <w:widowControl w:val="0"/>
              <w:jc w:val="center"/>
              <w:rPr>
                <w:rFonts w:ascii="仿宋_GB2312" w:eastAsia="仿宋_GB2312" w:cs="仿宋_GB2312" w:hAnsiTheme="minorEastAsia"/>
                <w:kern w:val="2"/>
              </w:rPr>
            </w:pPr>
          </w:p>
        </w:tc>
        <w:tc>
          <w:tcPr>
            <w:tcW w:w="1274" w:type="dxa"/>
            <w:vAlign w:val="center"/>
          </w:tcPr>
          <w:p>
            <w:pPr>
              <w:widowControl w:val="0"/>
              <w:jc w:val="center"/>
              <w:rPr>
                <w:rFonts w:ascii="仿宋_GB2312" w:eastAsia="仿宋_GB2312" w:cs="仿宋_GB2312" w:hAnsiTheme="minorEastAsia"/>
                <w:kern w:val="2"/>
              </w:rPr>
            </w:pPr>
            <w:r>
              <w:rPr>
                <w:rFonts w:hint="eastAsia" w:ascii="仿宋_GB2312" w:eastAsia="仿宋_GB2312" w:cs="仿宋_GB2312" w:hAnsiTheme="minorEastAsia"/>
                <w:kern w:val="2"/>
              </w:rPr>
              <w:t>联系方式</w:t>
            </w:r>
          </w:p>
        </w:tc>
        <w:tc>
          <w:tcPr>
            <w:tcW w:w="1656" w:type="dxa"/>
            <w:vAlign w:val="center"/>
          </w:tcPr>
          <w:p>
            <w:pPr>
              <w:widowControl w:val="0"/>
              <w:jc w:val="center"/>
              <w:rPr>
                <w:rFonts w:ascii="仿宋_GB2312" w:eastAsia="仿宋_GB2312" w:hAnsiTheme="minorEastAsia"/>
                <w:kern w:val="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4" w:hRule="exact"/>
          <w:jc w:val="center"/>
        </w:trPr>
        <w:tc>
          <w:tcPr>
            <w:tcW w:w="1950" w:type="dxa"/>
            <w:vAlign w:val="center"/>
          </w:tcPr>
          <w:p>
            <w:pPr>
              <w:widowControl w:val="0"/>
              <w:jc w:val="center"/>
              <w:rPr>
                <w:rFonts w:ascii="仿宋_GB2312" w:eastAsia="仿宋_GB2312" w:cs="仿宋_GB2312" w:hAnsiTheme="minorEastAsia"/>
                <w:kern w:val="2"/>
              </w:rPr>
            </w:pPr>
            <w:r>
              <w:rPr>
                <w:rFonts w:hint="eastAsia" w:ascii="仿宋_GB2312" w:eastAsia="仿宋_GB2312" w:cs="仿宋_GB2312" w:hAnsiTheme="minorEastAsia"/>
                <w:kern w:val="2"/>
              </w:rPr>
              <w:t>本单位</w:t>
            </w:r>
          </w:p>
          <w:p>
            <w:pPr>
              <w:widowControl w:val="0"/>
              <w:jc w:val="center"/>
              <w:rPr>
                <w:rFonts w:ascii="仿宋_GB2312" w:eastAsia="仿宋_GB2312" w:cs="仿宋_GB2312" w:hAnsiTheme="minorEastAsia"/>
                <w:kern w:val="2"/>
              </w:rPr>
            </w:pPr>
            <w:r>
              <w:rPr>
                <w:rFonts w:hint="eastAsia" w:ascii="仿宋_GB2312" w:eastAsia="仿宋_GB2312" w:cs="仿宋_GB2312" w:hAnsiTheme="minorEastAsia"/>
                <w:kern w:val="2"/>
              </w:rPr>
              <w:t>意  见</w:t>
            </w:r>
          </w:p>
        </w:tc>
        <w:tc>
          <w:tcPr>
            <w:tcW w:w="6921" w:type="dxa"/>
            <w:gridSpan w:val="6"/>
            <w:vAlign w:val="center"/>
          </w:tcPr>
          <w:p>
            <w:pPr>
              <w:widowControl w:val="0"/>
              <w:ind w:firstLine="3000" w:firstLineChars="1250"/>
              <w:jc w:val="center"/>
              <w:rPr>
                <w:rFonts w:ascii="仿宋_GB2312" w:eastAsia="仿宋_GB2312" w:hAnsiTheme="minorEastAsia"/>
                <w:kern w:val="2"/>
              </w:rPr>
            </w:pPr>
          </w:p>
          <w:p>
            <w:pPr>
              <w:widowControl w:val="0"/>
              <w:ind w:firstLine="3000" w:firstLineChars="1250"/>
              <w:jc w:val="center"/>
              <w:rPr>
                <w:rFonts w:ascii="仿宋_GB2312" w:eastAsia="仿宋_GB2312" w:hAnsiTheme="minorEastAsia"/>
                <w:kern w:val="2"/>
              </w:rPr>
            </w:pPr>
            <w:r>
              <w:rPr>
                <w:rFonts w:hint="eastAsia" w:ascii="仿宋_GB2312" w:eastAsia="仿宋_GB2312" w:hAnsiTheme="minorEastAsia"/>
                <w:kern w:val="2"/>
              </w:rPr>
              <w:t>负责人（</w:t>
            </w:r>
            <w:r>
              <w:rPr>
                <w:rFonts w:hint="eastAsia" w:ascii="仿宋_GB2312" w:eastAsia="仿宋_GB2312" w:hAnsiTheme="minorEastAsia"/>
              </w:rPr>
              <w:t>签字盖章</w:t>
            </w:r>
            <w:r>
              <w:rPr>
                <w:rFonts w:hint="eastAsia" w:ascii="仿宋_GB2312" w:eastAsia="仿宋_GB2312" w:hAnsiTheme="minorEastAsia"/>
                <w:kern w:val="2"/>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4" w:hRule="exact"/>
          <w:jc w:val="center"/>
        </w:trPr>
        <w:tc>
          <w:tcPr>
            <w:tcW w:w="1950" w:type="dxa"/>
            <w:vAlign w:val="center"/>
          </w:tcPr>
          <w:p>
            <w:pPr>
              <w:widowControl w:val="0"/>
              <w:jc w:val="center"/>
              <w:rPr>
                <w:rFonts w:ascii="仿宋_GB2312" w:eastAsia="仿宋_GB2312" w:cs="仿宋_GB2312" w:hAnsiTheme="minorEastAsia"/>
                <w:kern w:val="2"/>
              </w:rPr>
            </w:pPr>
            <w:r>
              <w:rPr>
                <w:rFonts w:hint="eastAsia" w:ascii="仿宋_GB2312" w:eastAsia="仿宋_GB2312" w:cs="仿宋_GB2312" w:hAnsiTheme="minorEastAsia"/>
                <w:kern w:val="2"/>
              </w:rPr>
              <w:t>上级单位</w:t>
            </w:r>
          </w:p>
          <w:p>
            <w:pPr>
              <w:widowControl w:val="0"/>
              <w:jc w:val="center"/>
              <w:rPr>
                <w:rFonts w:ascii="仿宋_GB2312" w:eastAsia="仿宋_GB2312" w:cs="仿宋_GB2312" w:hAnsiTheme="minorEastAsia"/>
                <w:kern w:val="2"/>
              </w:rPr>
            </w:pPr>
            <w:r>
              <w:rPr>
                <w:rFonts w:hint="eastAsia" w:ascii="仿宋_GB2312" w:eastAsia="仿宋_GB2312" w:cs="仿宋_GB2312" w:hAnsiTheme="minorEastAsia"/>
                <w:kern w:val="2"/>
              </w:rPr>
              <w:t>意   见</w:t>
            </w:r>
          </w:p>
        </w:tc>
        <w:tc>
          <w:tcPr>
            <w:tcW w:w="6921" w:type="dxa"/>
            <w:gridSpan w:val="6"/>
            <w:vAlign w:val="center"/>
          </w:tcPr>
          <w:p>
            <w:pPr>
              <w:widowControl w:val="0"/>
              <w:ind w:firstLine="3000" w:firstLineChars="1250"/>
              <w:jc w:val="center"/>
              <w:rPr>
                <w:rFonts w:ascii="仿宋_GB2312" w:eastAsia="仿宋_GB2312" w:hAnsiTheme="minorEastAsia"/>
                <w:kern w:val="2"/>
              </w:rPr>
            </w:pPr>
          </w:p>
          <w:p>
            <w:pPr>
              <w:widowControl w:val="0"/>
              <w:ind w:firstLine="3000" w:firstLineChars="1250"/>
              <w:jc w:val="center"/>
              <w:rPr>
                <w:rFonts w:ascii="仿宋_GB2312" w:eastAsia="仿宋_GB2312" w:hAnsiTheme="minorEastAsia"/>
                <w:kern w:val="2"/>
              </w:rPr>
            </w:pPr>
            <w:r>
              <w:rPr>
                <w:rFonts w:hint="eastAsia" w:ascii="仿宋_GB2312" w:eastAsia="仿宋_GB2312" w:hAnsiTheme="minorEastAsia"/>
                <w:kern w:val="2"/>
              </w:rPr>
              <w:t>负责人（</w:t>
            </w:r>
            <w:r>
              <w:rPr>
                <w:rFonts w:hint="eastAsia" w:ascii="仿宋_GB2312" w:eastAsia="仿宋_GB2312" w:hAnsiTheme="minorEastAsia"/>
              </w:rPr>
              <w:t>签字盖章</w:t>
            </w:r>
            <w:r>
              <w:rPr>
                <w:rFonts w:hint="eastAsia" w:ascii="仿宋_GB2312" w:eastAsia="仿宋_GB2312" w:hAnsiTheme="minorEastAsia"/>
                <w:kern w:val="2"/>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73" w:hRule="exact"/>
          <w:jc w:val="center"/>
        </w:trPr>
        <w:tc>
          <w:tcPr>
            <w:tcW w:w="1950" w:type="dxa"/>
            <w:vAlign w:val="center"/>
          </w:tcPr>
          <w:p>
            <w:pPr>
              <w:widowControl w:val="0"/>
              <w:jc w:val="center"/>
              <w:rPr>
                <w:rFonts w:ascii="仿宋_GB2312" w:eastAsia="仿宋_GB2312" w:cs="仿宋_GB2312" w:hAnsiTheme="minorEastAsia"/>
                <w:kern w:val="2"/>
              </w:rPr>
            </w:pPr>
            <w:r>
              <w:rPr>
                <w:rFonts w:hint="eastAsia" w:ascii="仿宋_GB2312" w:eastAsia="仿宋_GB2312" w:cs="仿宋_GB2312" w:hAnsiTheme="minorEastAsia"/>
                <w:kern w:val="2"/>
              </w:rPr>
              <w:t>职工大学</w:t>
            </w:r>
          </w:p>
          <w:p>
            <w:pPr>
              <w:widowControl w:val="0"/>
              <w:jc w:val="center"/>
              <w:rPr>
                <w:rFonts w:ascii="仿宋_GB2312" w:eastAsia="仿宋_GB2312" w:cs="仿宋_GB2312" w:hAnsiTheme="minorEastAsia"/>
                <w:kern w:val="2"/>
              </w:rPr>
            </w:pPr>
            <w:r>
              <w:rPr>
                <w:rFonts w:hint="eastAsia" w:ascii="仿宋_GB2312" w:eastAsia="仿宋_GB2312" w:cs="仿宋_GB2312" w:hAnsiTheme="minorEastAsia"/>
                <w:kern w:val="2"/>
              </w:rPr>
              <w:t>意  见</w:t>
            </w:r>
          </w:p>
        </w:tc>
        <w:tc>
          <w:tcPr>
            <w:tcW w:w="6921" w:type="dxa"/>
            <w:gridSpan w:val="6"/>
            <w:vAlign w:val="center"/>
          </w:tcPr>
          <w:p>
            <w:pPr>
              <w:widowControl w:val="0"/>
              <w:ind w:firstLine="3000" w:firstLineChars="1250"/>
              <w:jc w:val="center"/>
              <w:rPr>
                <w:rFonts w:ascii="仿宋_GB2312" w:eastAsia="仿宋_GB2312" w:hAnsiTheme="minorEastAsia"/>
                <w:kern w:val="2"/>
              </w:rPr>
            </w:pPr>
          </w:p>
          <w:p>
            <w:pPr>
              <w:widowControl w:val="0"/>
              <w:ind w:firstLine="3000" w:firstLineChars="1250"/>
              <w:jc w:val="center"/>
              <w:rPr>
                <w:rFonts w:ascii="仿宋_GB2312" w:eastAsia="仿宋_GB2312" w:hAnsiTheme="minorEastAsia"/>
                <w:kern w:val="2"/>
              </w:rPr>
            </w:pPr>
          </w:p>
          <w:p>
            <w:pPr>
              <w:widowControl w:val="0"/>
              <w:ind w:firstLine="3000" w:firstLineChars="1250"/>
              <w:jc w:val="center"/>
              <w:rPr>
                <w:rFonts w:ascii="仿宋_GB2312" w:eastAsia="仿宋_GB2312" w:hAnsiTheme="minorEastAsia"/>
                <w:kern w:val="2"/>
              </w:rPr>
            </w:pPr>
            <w:r>
              <w:rPr>
                <w:rFonts w:hint="eastAsia" w:ascii="仿宋_GB2312" w:eastAsia="仿宋_GB2312" w:hAnsiTheme="minorEastAsia"/>
                <w:kern w:val="2"/>
              </w:rPr>
              <w:t>项目负责人（</w:t>
            </w:r>
            <w:r>
              <w:rPr>
                <w:rFonts w:hint="eastAsia" w:ascii="仿宋_GB2312" w:eastAsia="仿宋_GB2312" w:hAnsiTheme="minorEastAsia"/>
              </w:rPr>
              <w:t>签字</w:t>
            </w:r>
            <w:r>
              <w:rPr>
                <w:rFonts w:hint="eastAsia" w:ascii="仿宋_GB2312" w:eastAsia="仿宋_GB2312" w:hAnsiTheme="minorEastAsia"/>
                <w:kern w:val="2"/>
              </w:rPr>
              <w:t>）：</w:t>
            </w:r>
          </w:p>
        </w:tc>
      </w:tr>
    </w:tbl>
    <w:p>
      <w:pPr>
        <w:spacing w:line="320" w:lineRule="exact"/>
        <w:rPr>
          <w:rFonts w:ascii="仿宋_GB2312" w:eastAsia="仿宋_GB2312" w:cs="Times New Roman" w:hAnsiTheme="minorEastAsia"/>
          <w:color w:val="000000"/>
        </w:rPr>
      </w:pPr>
      <w:r>
        <w:rPr>
          <w:rFonts w:hint="eastAsia" w:ascii="仿宋_GB2312" w:eastAsia="仿宋_GB2312" w:cs="Times New Roman" w:hAnsiTheme="minorEastAsia"/>
          <w:color w:val="000000"/>
        </w:rPr>
        <w:t>注：1.选项填报范例：</w:t>
      </w:r>
      <w:r>
        <w:rPr>
          <w:rFonts w:hint="eastAsia" w:ascii="仿宋_GB2312" w:eastAsia="仿宋_GB2312" w:cs="Times New Roman" w:hAnsiTheme="minorEastAsia"/>
          <w:color w:val="000000"/>
        </w:rPr>
        <w:sym w:font="Wingdings" w:char="00FE"/>
      </w:r>
      <w:r>
        <w:rPr>
          <w:rFonts w:hint="eastAsia" w:ascii="仿宋_GB2312" w:eastAsia="仿宋_GB2312" w:cs="Times New Roman" w:hAnsiTheme="minorEastAsia"/>
          <w:color w:val="000000"/>
        </w:rPr>
        <w:t>。</w:t>
      </w:r>
    </w:p>
    <w:p>
      <w:pPr>
        <w:spacing w:line="320" w:lineRule="exact"/>
        <w:ind w:firstLine="480" w:firstLineChars="200"/>
        <w:rPr>
          <w:rFonts w:ascii="仿宋_GB2312" w:eastAsia="仿宋_GB2312" w:cs="Times New Roman" w:hAnsiTheme="minorEastAsia"/>
          <w:color w:val="000000"/>
        </w:rPr>
      </w:pPr>
      <w:r>
        <w:rPr>
          <w:rFonts w:hint="eastAsia" w:ascii="仿宋_GB2312" w:eastAsia="仿宋_GB2312" w:cs="Times New Roman" w:hAnsiTheme="minorEastAsia"/>
          <w:color w:val="000000"/>
        </w:rPr>
        <w:t>2.</w:t>
      </w:r>
      <w:r>
        <w:rPr>
          <w:rFonts w:hint="eastAsia" w:ascii="仿宋_GB2312" w:eastAsia="仿宋_GB2312" w:cs="Times New Roman" w:hAnsiTheme="minorEastAsia"/>
          <w:b/>
          <w:color w:val="000000"/>
        </w:rPr>
        <w:t>请勿调整表格格式</w:t>
      </w:r>
      <w:r>
        <w:rPr>
          <w:rFonts w:hint="eastAsia" w:ascii="仿宋_GB2312" w:eastAsia="仿宋_GB2312" w:cs="Times New Roman" w:hAnsiTheme="minorEastAsia"/>
          <w:color w:val="000000"/>
        </w:rPr>
        <w:t>，如有分页，请将所有页盖章后再行提交。</w:t>
      </w:r>
    </w:p>
    <w:p>
      <w:pPr>
        <w:pStyle w:val="6"/>
        <w:adjustRightInd w:val="0"/>
        <w:snapToGrid w:val="0"/>
        <w:spacing w:before="0" w:beforeAutospacing="0" w:after="0" w:afterAutospacing="0" w:line="560" w:lineRule="exact"/>
        <w:ind w:right="1303"/>
        <w:rPr>
          <w:rFonts w:hint="eastAsia" w:ascii="黑体" w:hAnsi="黑体" w:eastAsia="黑体"/>
          <w:color w:val="auto"/>
          <w:sz w:val="32"/>
          <w:szCs w:val="32"/>
        </w:rPr>
      </w:pPr>
    </w:p>
    <w:p>
      <w:pPr>
        <w:pStyle w:val="6"/>
        <w:adjustRightInd w:val="0"/>
        <w:snapToGrid w:val="0"/>
        <w:spacing w:before="0" w:beforeAutospacing="0" w:after="0" w:afterAutospacing="0" w:line="560" w:lineRule="exact"/>
        <w:ind w:right="1303"/>
        <w:rPr>
          <w:rFonts w:ascii="黑体" w:hAnsi="黑体" w:eastAsia="黑体"/>
          <w:color w:val="auto"/>
          <w:sz w:val="32"/>
          <w:szCs w:val="32"/>
        </w:rPr>
      </w:pPr>
      <w:r>
        <w:rPr>
          <w:rFonts w:hint="eastAsia" w:ascii="黑体" w:hAnsi="黑体" w:eastAsia="黑体"/>
          <w:color w:val="auto"/>
          <w:sz w:val="32"/>
          <w:szCs w:val="32"/>
        </w:rPr>
        <w:t>附表</w:t>
      </w:r>
      <w:r>
        <w:rPr>
          <w:rFonts w:ascii="黑体" w:hAnsi="黑体" w:eastAsia="黑体"/>
          <w:color w:val="auto"/>
          <w:sz w:val="32"/>
          <w:szCs w:val="32"/>
        </w:rPr>
        <w:t>3</w:t>
      </w:r>
    </w:p>
    <w:p>
      <w:pPr>
        <w:pStyle w:val="6"/>
        <w:snapToGrid w:val="0"/>
        <w:spacing w:before="0" w:beforeAutospacing="0" w:afterLines="50" w:afterAutospacing="0" w:line="560" w:lineRule="exact"/>
        <w:jc w:val="center"/>
        <w:rPr>
          <w:rFonts w:ascii="方正小标宋简体" w:eastAsia="方正小标宋简体"/>
          <w:sz w:val="36"/>
          <w:szCs w:val="36"/>
        </w:rPr>
      </w:pPr>
      <w:r>
        <w:rPr>
          <w:rFonts w:hint="eastAsia" w:ascii="方正小标宋简体" w:eastAsia="方正小标宋简体"/>
          <w:sz w:val="36"/>
          <w:szCs w:val="36"/>
          <w:lang w:eastAsia="zh-CN"/>
        </w:rPr>
        <w:t>首都示范性工匠学院</w:t>
      </w:r>
      <w:r>
        <w:rPr>
          <w:rFonts w:ascii="方正小标宋简体" w:eastAsia="方正小标宋简体"/>
          <w:sz w:val="36"/>
          <w:szCs w:val="36"/>
        </w:rPr>
        <w:t>202</w:t>
      </w:r>
      <w:r>
        <w:rPr>
          <w:rFonts w:hint="eastAsia" w:ascii="方正小标宋简体" w:eastAsia="方正小标宋简体"/>
          <w:sz w:val="36"/>
          <w:szCs w:val="36"/>
        </w:rPr>
        <w:t>5</w:t>
      </w:r>
      <w:r>
        <w:rPr>
          <w:rFonts w:ascii="方正小标宋简体" w:eastAsia="方正小标宋简体"/>
          <w:sz w:val="36"/>
          <w:szCs w:val="36"/>
        </w:rPr>
        <w:t>年</w:t>
      </w:r>
      <w:r>
        <w:rPr>
          <w:rFonts w:hint="eastAsia" w:ascii="方正小标宋简体" w:eastAsia="方正小标宋简体"/>
          <w:sz w:val="36"/>
          <w:szCs w:val="36"/>
        </w:rPr>
        <w:t>职工读书活动签到表</w:t>
      </w:r>
    </w:p>
    <w:p>
      <w:pPr>
        <w:spacing w:line="520" w:lineRule="exact"/>
        <w:jc w:val="center"/>
        <w:rPr>
          <w:rFonts w:ascii="仿宋_GB2312" w:eastAsia="仿宋_GB2312"/>
        </w:rPr>
      </w:pPr>
      <w:r>
        <w:rPr>
          <w:rFonts w:hint="eastAsia" w:ascii="仿宋_GB2312" w:eastAsia="仿宋_GB2312"/>
        </w:rPr>
        <w:t xml:space="preserve"> </w:t>
      </w:r>
      <w:r>
        <w:rPr>
          <w:rFonts w:ascii="仿宋_GB2312" w:eastAsia="仿宋_GB2312"/>
        </w:rPr>
        <w:t xml:space="preserve">                              </w:t>
      </w:r>
      <w:r>
        <w:rPr>
          <w:rFonts w:hint="eastAsia" w:ascii="仿宋_GB2312" w:eastAsia="仿宋_GB2312"/>
        </w:rPr>
        <w:t xml:space="preserve">          年 </w:t>
      </w:r>
      <w:r>
        <w:rPr>
          <w:rFonts w:ascii="仿宋_GB2312" w:eastAsia="仿宋_GB2312"/>
        </w:rPr>
        <w:t xml:space="preserve"> </w:t>
      </w:r>
      <w:r>
        <w:rPr>
          <w:rFonts w:hint="eastAsia" w:ascii="仿宋_GB2312" w:eastAsia="仿宋_GB2312"/>
        </w:rPr>
        <w:t xml:space="preserve">月 </w:t>
      </w:r>
      <w:r>
        <w:rPr>
          <w:rFonts w:ascii="仿宋_GB2312" w:eastAsia="仿宋_GB2312"/>
        </w:rPr>
        <w:t xml:space="preserve"> </w:t>
      </w:r>
      <w:r>
        <w:rPr>
          <w:rFonts w:hint="eastAsia" w:ascii="仿宋_GB2312" w:eastAsia="仿宋_GB2312"/>
        </w:rPr>
        <w:t xml:space="preserve">日 </w:t>
      </w:r>
      <w:r>
        <w:rPr>
          <w:rFonts w:ascii="仿宋_GB2312" w:eastAsia="仿宋_GB2312"/>
        </w:rPr>
        <w:t xml:space="preserve">  </w:t>
      </w:r>
      <w:r>
        <w:rPr>
          <w:rFonts w:hint="eastAsia" w:ascii="仿宋_GB2312" w:eastAsia="仿宋_GB2312"/>
        </w:rPr>
        <w:t xml:space="preserve">第  次读书活动 </w:t>
      </w:r>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595"/>
        <w:gridCol w:w="2086"/>
        <w:gridCol w:w="2410"/>
        <w:gridCol w:w="220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tcPr>
          <w:p>
            <w:pPr>
              <w:spacing w:line="520" w:lineRule="exact"/>
              <w:jc w:val="center"/>
              <w:rPr>
                <w:rFonts w:ascii="仿宋_GB2312" w:eastAsia="仿宋_GB2312"/>
              </w:rPr>
            </w:pPr>
            <w:r>
              <w:rPr>
                <w:rFonts w:hint="eastAsia" w:ascii="仿宋_GB2312" w:eastAsia="仿宋_GB2312"/>
              </w:rPr>
              <w:t>课程名称</w:t>
            </w:r>
          </w:p>
        </w:tc>
        <w:tc>
          <w:tcPr>
            <w:tcW w:w="2086" w:type="dxa"/>
          </w:tcPr>
          <w:p>
            <w:pPr>
              <w:spacing w:line="520" w:lineRule="exact"/>
              <w:jc w:val="center"/>
              <w:rPr>
                <w:rFonts w:ascii="仿宋_GB2312" w:eastAsia="仿宋_GB2312"/>
              </w:rPr>
            </w:pPr>
          </w:p>
        </w:tc>
        <w:tc>
          <w:tcPr>
            <w:tcW w:w="2410" w:type="dxa"/>
          </w:tcPr>
          <w:p>
            <w:pPr>
              <w:spacing w:line="520" w:lineRule="exact"/>
              <w:jc w:val="center"/>
              <w:rPr>
                <w:rFonts w:ascii="仿宋_GB2312" w:eastAsia="仿宋_GB2312"/>
              </w:rPr>
            </w:pPr>
            <w:r>
              <w:rPr>
                <w:rFonts w:hint="eastAsia" w:ascii="仿宋_GB2312" w:eastAsia="仿宋_GB2312"/>
              </w:rPr>
              <w:t>参与人数</w:t>
            </w:r>
          </w:p>
        </w:tc>
        <w:tc>
          <w:tcPr>
            <w:tcW w:w="2205" w:type="dxa"/>
          </w:tcPr>
          <w:p>
            <w:pPr>
              <w:spacing w:line="520" w:lineRule="exact"/>
              <w:jc w:val="center"/>
              <w:rPr>
                <w:rFonts w:ascii="仿宋_GB2312" w:eastAsia="仿宋_GB2312"/>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tcPr>
          <w:p>
            <w:pPr>
              <w:spacing w:line="520" w:lineRule="exact"/>
              <w:jc w:val="center"/>
              <w:rPr>
                <w:rFonts w:ascii="仿宋_GB2312" w:eastAsia="仿宋_GB2312"/>
              </w:rPr>
            </w:pPr>
            <w:r>
              <w:rPr>
                <w:rFonts w:hint="eastAsia" w:ascii="仿宋_GB2312" w:eastAsia="仿宋_GB2312"/>
              </w:rPr>
              <w:t>序号</w:t>
            </w:r>
          </w:p>
        </w:tc>
        <w:tc>
          <w:tcPr>
            <w:tcW w:w="2086" w:type="dxa"/>
          </w:tcPr>
          <w:p>
            <w:pPr>
              <w:spacing w:line="520" w:lineRule="exact"/>
              <w:jc w:val="center"/>
              <w:rPr>
                <w:rFonts w:ascii="仿宋_GB2312" w:eastAsia="仿宋_GB2312"/>
              </w:rPr>
            </w:pPr>
            <w:r>
              <w:rPr>
                <w:rFonts w:hint="eastAsia" w:ascii="仿宋_GB2312" w:eastAsia="仿宋_GB2312"/>
              </w:rPr>
              <w:t>签字</w:t>
            </w:r>
          </w:p>
        </w:tc>
        <w:tc>
          <w:tcPr>
            <w:tcW w:w="2410" w:type="dxa"/>
          </w:tcPr>
          <w:p>
            <w:pPr>
              <w:spacing w:line="520" w:lineRule="exact"/>
              <w:jc w:val="center"/>
              <w:rPr>
                <w:rFonts w:ascii="仿宋_GB2312" w:eastAsia="仿宋_GB2312"/>
              </w:rPr>
            </w:pPr>
            <w:r>
              <w:rPr>
                <w:rFonts w:hint="eastAsia" w:ascii="仿宋_GB2312" w:eastAsia="仿宋_GB2312"/>
              </w:rPr>
              <w:t>序号</w:t>
            </w:r>
          </w:p>
        </w:tc>
        <w:tc>
          <w:tcPr>
            <w:tcW w:w="2205" w:type="dxa"/>
          </w:tcPr>
          <w:p>
            <w:pPr>
              <w:spacing w:line="520" w:lineRule="exact"/>
              <w:jc w:val="center"/>
              <w:rPr>
                <w:rFonts w:ascii="仿宋_GB2312" w:eastAsia="仿宋_GB2312"/>
              </w:rPr>
            </w:pPr>
            <w:r>
              <w:rPr>
                <w:rFonts w:hint="eastAsia" w:ascii="仿宋_GB2312" w:eastAsia="仿宋_GB2312"/>
              </w:rPr>
              <w:t>签字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Align w:val="bottom"/>
          </w:tcPr>
          <w:p>
            <w:pPr>
              <w:spacing w:line="520" w:lineRule="exact"/>
              <w:jc w:val="center"/>
              <w:rPr>
                <w:rFonts w:ascii="仿宋_GB2312" w:eastAsia="仿宋_GB2312"/>
              </w:rPr>
            </w:pPr>
            <w:r>
              <w:rPr>
                <w:color w:val="000000"/>
                <w:sz w:val="22"/>
              </w:rPr>
              <w:t>1</w:t>
            </w:r>
          </w:p>
        </w:tc>
        <w:tc>
          <w:tcPr>
            <w:tcW w:w="2086" w:type="dxa"/>
          </w:tcPr>
          <w:p>
            <w:pPr>
              <w:spacing w:line="520" w:lineRule="exact"/>
              <w:jc w:val="center"/>
              <w:rPr>
                <w:rFonts w:ascii="仿宋_GB2312" w:eastAsia="仿宋_GB2312"/>
              </w:rPr>
            </w:pPr>
          </w:p>
        </w:tc>
        <w:tc>
          <w:tcPr>
            <w:tcW w:w="2410" w:type="dxa"/>
          </w:tcPr>
          <w:p>
            <w:pPr>
              <w:spacing w:line="520" w:lineRule="exact"/>
              <w:jc w:val="center"/>
              <w:rPr>
                <w:rFonts w:ascii="仿宋_GB2312" w:eastAsia="仿宋_GB2312"/>
              </w:rPr>
            </w:pPr>
            <w:r>
              <w:rPr>
                <w:color w:val="000000"/>
                <w:sz w:val="22"/>
              </w:rPr>
              <w:t>17</w:t>
            </w:r>
          </w:p>
        </w:tc>
        <w:tc>
          <w:tcPr>
            <w:tcW w:w="2205" w:type="dxa"/>
          </w:tcPr>
          <w:p>
            <w:pPr>
              <w:spacing w:line="520" w:lineRule="exact"/>
              <w:jc w:val="center"/>
              <w:rPr>
                <w:rFonts w:ascii="仿宋_GB2312" w:eastAsia="仿宋_GB2312"/>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Align w:val="bottom"/>
          </w:tcPr>
          <w:p>
            <w:pPr>
              <w:spacing w:line="520" w:lineRule="exact"/>
              <w:jc w:val="center"/>
              <w:rPr>
                <w:rFonts w:ascii="仿宋_GB2312" w:eastAsia="仿宋_GB2312"/>
              </w:rPr>
            </w:pPr>
            <w:r>
              <w:rPr>
                <w:color w:val="000000"/>
                <w:sz w:val="22"/>
              </w:rPr>
              <w:t>2</w:t>
            </w:r>
          </w:p>
        </w:tc>
        <w:tc>
          <w:tcPr>
            <w:tcW w:w="2086" w:type="dxa"/>
          </w:tcPr>
          <w:p>
            <w:pPr>
              <w:spacing w:line="520" w:lineRule="exact"/>
              <w:jc w:val="center"/>
              <w:rPr>
                <w:rFonts w:ascii="仿宋_GB2312" w:eastAsia="仿宋_GB2312"/>
              </w:rPr>
            </w:pPr>
          </w:p>
        </w:tc>
        <w:tc>
          <w:tcPr>
            <w:tcW w:w="2410" w:type="dxa"/>
          </w:tcPr>
          <w:p>
            <w:pPr>
              <w:spacing w:line="520" w:lineRule="exact"/>
              <w:jc w:val="center"/>
              <w:rPr>
                <w:rFonts w:ascii="仿宋_GB2312" w:eastAsia="仿宋_GB2312"/>
              </w:rPr>
            </w:pPr>
            <w:r>
              <w:rPr>
                <w:color w:val="000000"/>
                <w:sz w:val="22"/>
              </w:rPr>
              <w:t>18</w:t>
            </w:r>
          </w:p>
        </w:tc>
        <w:tc>
          <w:tcPr>
            <w:tcW w:w="2205" w:type="dxa"/>
          </w:tcPr>
          <w:p>
            <w:pPr>
              <w:spacing w:line="520" w:lineRule="exact"/>
              <w:jc w:val="center"/>
              <w:rPr>
                <w:rFonts w:ascii="仿宋_GB2312" w:eastAsia="仿宋_GB2312"/>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Align w:val="bottom"/>
          </w:tcPr>
          <w:p>
            <w:pPr>
              <w:spacing w:line="520" w:lineRule="exact"/>
              <w:jc w:val="center"/>
              <w:rPr>
                <w:rFonts w:ascii="仿宋_GB2312" w:eastAsia="仿宋_GB2312"/>
              </w:rPr>
            </w:pPr>
            <w:r>
              <w:rPr>
                <w:color w:val="000000"/>
                <w:sz w:val="22"/>
              </w:rPr>
              <w:t>3</w:t>
            </w:r>
          </w:p>
        </w:tc>
        <w:tc>
          <w:tcPr>
            <w:tcW w:w="2086" w:type="dxa"/>
          </w:tcPr>
          <w:p>
            <w:pPr>
              <w:spacing w:line="520" w:lineRule="exact"/>
              <w:jc w:val="center"/>
              <w:rPr>
                <w:rFonts w:ascii="仿宋_GB2312" w:eastAsia="仿宋_GB2312"/>
              </w:rPr>
            </w:pPr>
          </w:p>
        </w:tc>
        <w:tc>
          <w:tcPr>
            <w:tcW w:w="2410" w:type="dxa"/>
          </w:tcPr>
          <w:p>
            <w:pPr>
              <w:spacing w:line="520" w:lineRule="exact"/>
              <w:jc w:val="center"/>
              <w:rPr>
                <w:rFonts w:ascii="仿宋_GB2312" w:eastAsia="仿宋_GB2312"/>
              </w:rPr>
            </w:pPr>
            <w:r>
              <w:rPr>
                <w:color w:val="000000"/>
                <w:sz w:val="22"/>
              </w:rPr>
              <w:t>19</w:t>
            </w:r>
          </w:p>
        </w:tc>
        <w:tc>
          <w:tcPr>
            <w:tcW w:w="2205" w:type="dxa"/>
          </w:tcPr>
          <w:p>
            <w:pPr>
              <w:spacing w:line="520" w:lineRule="exact"/>
              <w:jc w:val="center"/>
              <w:rPr>
                <w:rFonts w:ascii="仿宋_GB2312" w:eastAsia="仿宋_GB2312"/>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Align w:val="bottom"/>
          </w:tcPr>
          <w:p>
            <w:pPr>
              <w:spacing w:line="520" w:lineRule="exact"/>
              <w:jc w:val="center"/>
              <w:rPr>
                <w:rFonts w:ascii="仿宋_GB2312" w:eastAsia="仿宋_GB2312"/>
              </w:rPr>
            </w:pPr>
            <w:r>
              <w:rPr>
                <w:color w:val="000000"/>
                <w:sz w:val="22"/>
              </w:rPr>
              <w:t>4</w:t>
            </w:r>
          </w:p>
        </w:tc>
        <w:tc>
          <w:tcPr>
            <w:tcW w:w="2086" w:type="dxa"/>
          </w:tcPr>
          <w:p>
            <w:pPr>
              <w:spacing w:line="520" w:lineRule="exact"/>
              <w:jc w:val="center"/>
              <w:rPr>
                <w:rFonts w:ascii="仿宋_GB2312" w:eastAsia="仿宋_GB2312"/>
              </w:rPr>
            </w:pPr>
          </w:p>
        </w:tc>
        <w:tc>
          <w:tcPr>
            <w:tcW w:w="2410" w:type="dxa"/>
          </w:tcPr>
          <w:p>
            <w:pPr>
              <w:spacing w:line="520" w:lineRule="exact"/>
              <w:jc w:val="center"/>
              <w:rPr>
                <w:rFonts w:ascii="仿宋_GB2312" w:eastAsia="仿宋_GB2312"/>
              </w:rPr>
            </w:pPr>
            <w:r>
              <w:rPr>
                <w:color w:val="000000"/>
                <w:sz w:val="22"/>
              </w:rPr>
              <w:t>20</w:t>
            </w:r>
          </w:p>
        </w:tc>
        <w:tc>
          <w:tcPr>
            <w:tcW w:w="2205" w:type="dxa"/>
          </w:tcPr>
          <w:p>
            <w:pPr>
              <w:spacing w:line="520" w:lineRule="exact"/>
              <w:jc w:val="center"/>
              <w:rPr>
                <w:rFonts w:ascii="仿宋_GB2312" w:eastAsia="仿宋_GB2312"/>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Align w:val="bottom"/>
          </w:tcPr>
          <w:p>
            <w:pPr>
              <w:spacing w:line="520" w:lineRule="exact"/>
              <w:jc w:val="center"/>
              <w:rPr>
                <w:rFonts w:ascii="仿宋_GB2312" w:eastAsia="仿宋_GB2312"/>
              </w:rPr>
            </w:pPr>
            <w:r>
              <w:rPr>
                <w:color w:val="000000"/>
                <w:sz w:val="22"/>
              </w:rPr>
              <w:t>5</w:t>
            </w:r>
          </w:p>
        </w:tc>
        <w:tc>
          <w:tcPr>
            <w:tcW w:w="2086" w:type="dxa"/>
          </w:tcPr>
          <w:p>
            <w:pPr>
              <w:spacing w:line="520" w:lineRule="exact"/>
              <w:jc w:val="center"/>
              <w:rPr>
                <w:rFonts w:ascii="仿宋_GB2312" w:eastAsia="仿宋_GB2312"/>
              </w:rPr>
            </w:pPr>
          </w:p>
        </w:tc>
        <w:tc>
          <w:tcPr>
            <w:tcW w:w="2410" w:type="dxa"/>
          </w:tcPr>
          <w:p>
            <w:pPr>
              <w:spacing w:line="520" w:lineRule="exact"/>
              <w:jc w:val="center"/>
              <w:rPr>
                <w:rFonts w:ascii="仿宋_GB2312" w:eastAsia="仿宋_GB2312"/>
              </w:rPr>
            </w:pPr>
            <w:r>
              <w:rPr>
                <w:color w:val="000000"/>
                <w:sz w:val="22"/>
              </w:rPr>
              <w:t>21</w:t>
            </w:r>
          </w:p>
        </w:tc>
        <w:tc>
          <w:tcPr>
            <w:tcW w:w="2205" w:type="dxa"/>
          </w:tcPr>
          <w:p>
            <w:pPr>
              <w:spacing w:line="520" w:lineRule="exact"/>
              <w:jc w:val="center"/>
              <w:rPr>
                <w:rFonts w:ascii="仿宋_GB2312" w:eastAsia="仿宋_GB2312"/>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Align w:val="bottom"/>
          </w:tcPr>
          <w:p>
            <w:pPr>
              <w:spacing w:line="520" w:lineRule="exact"/>
              <w:jc w:val="center"/>
              <w:rPr>
                <w:rFonts w:ascii="仿宋_GB2312" w:eastAsia="仿宋_GB2312"/>
              </w:rPr>
            </w:pPr>
            <w:r>
              <w:rPr>
                <w:color w:val="000000"/>
                <w:sz w:val="22"/>
              </w:rPr>
              <w:t>6</w:t>
            </w:r>
          </w:p>
        </w:tc>
        <w:tc>
          <w:tcPr>
            <w:tcW w:w="2086" w:type="dxa"/>
          </w:tcPr>
          <w:p>
            <w:pPr>
              <w:spacing w:line="520" w:lineRule="exact"/>
              <w:jc w:val="center"/>
              <w:rPr>
                <w:rFonts w:ascii="仿宋_GB2312" w:eastAsia="仿宋_GB2312"/>
              </w:rPr>
            </w:pPr>
          </w:p>
        </w:tc>
        <w:tc>
          <w:tcPr>
            <w:tcW w:w="2410" w:type="dxa"/>
          </w:tcPr>
          <w:p>
            <w:pPr>
              <w:spacing w:line="520" w:lineRule="exact"/>
              <w:jc w:val="center"/>
              <w:rPr>
                <w:rFonts w:ascii="仿宋_GB2312" w:eastAsia="仿宋_GB2312"/>
              </w:rPr>
            </w:pPr>
            <w:r>
              <w:rPr>
                <w:color w:val="000000"/>
                <w:sz w:val="22"/>
              </w:rPr>
              <w:t>22</w:t>
            </w:r>
          </w:p>
        </w:tc>
        <w:tc>
          <w:tcPr>
            <w:tcW w:w="2205" w:type="dxa"/>
          </w:tcPr>
          <w:p>
            <w:pPr>
              <w:spacing w:line="520" w:lineRule="exact"/>
              <w:jc w:val="center"/>
              <w:rPr>
                <w:rFonts w:ascii="仿宋_GB2312" w:eastAsia="仿宋_GB2312"/>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Align w:val="bottom"/>
          </w:tcPr>
          <w:p>
            <w:pPr>
              <w:spacing w:line="520" w:lineRule="exact"/>
              <w:jc w:val="center"/>
              <w:rPr>
                <w:rFonts w:ascii="仿宋_GB2312" w:eastAsia="仿宋_GB2312"/>
              </w:rPr>
            </w:pPr>
            <w:r>
              <w:rPr>
                <w:color w:val="000000"/>
                <w:sz w:val="22"/>
              </w:rPr>
              <w:t>7</w:t>
            </w:r>
          </w:p>
        </w:tc>
        <w:tc>
          <w:tcPr>
            <w:tcW w:w="2086" w:type="dxa"/>
          </w:tcPr>
          <w:p>
            <w:pPr>
              <w:spacing w:line="520" w:lineRule="exact"/>
              <w:jc w:val="center"/>
              <w:rPr>
                <w:rFonts w:ascii="仿宋_GB2312" w:eastAsia="仿宋_GB2312"/>
              </w:rPr>
            </w:pPr>
          </w:p>
        </w:tc>
        <w:tc>
          <w:tcPr>
            <w:tcW w:w="2410" w:type="dxa"/>
          </w:tcPr>
          <w:p>
            <w:pPr>
              <w:spacing w:line="520" w:lineRule="exact"/>
              <w:jc w:val="center"/>
              <w:rPr>
                <w:rFonts w:ascii="仿宋_GB2312" w:eastAsia="仿宋_GB2312"/>
              </w:rPr>
            </w:pPr>
            <w:r>
              <w:rPr>
                <w:color w:val="000000"/>
                <w:sz w:val="22"/>
              </w:rPr>
              <w:t>23</w:t>
            </w:r>
          </w:p>
        </w:tc>
        <w:tc>
          <w:tcPr>
            <w:tcW w:w="2205" w:type="dxa"/>
          </w:tcPr>
          <w:p>
            <w:pPr>
              <w:spacing w:line="520" w:lineRule="exact"/>
              <w:jc w:val="center"/>
              <w:rPr>
                <w:rFonts w:ascii="仿宋_GB2312" w:eastAsia="仿宋_GB2312"/>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Align w:val="bottom"/>
          </w:tcPr>
          <w:p>
            <w:pPr>
              <w:spacing w:line="520" w:lineRule="exact"/>
              <w:jc w:val="center"/>
              <w:rPr>
                <w:rFonts w:ascii="仿宋_GB2312" w:eastAsia="仿宋_GB2312"/>
              </w:rPr>
            </w:pPr>
            <w:r>
              <w:rPr>
                <w:color w:val="000000"/>
                <w:sz w:val="22"/>
              </w:rPr>
              <w:t>8</w:t>
            </w:r>
          </w:p>
        </w:tc>
        <w:tc>
          <w:tcPr>
            <w:tcW w:w="2086" w:type="dxa"/>
          </w:tcPr>
          <w:p>
            <w:pPr>
              <w:spacing w:line="520" w:lineRule="exact"/>
              <w:jc w:val="center"/>
              <w:rPr>
                <w:rFonts w:ascii="仿宋_GB2312" w:eastAsia="仿宋_GB2312"/>
              </w:rPr>
            </w:pPr>
          </w:p>
        </w:tc>
        <w:tc>
          <w:tcPr>
            <w:tcW w:w="2410" w:type="dxa"/>
          </w:tcPr>
          <w:p>
            <w:pPr>
              <w:spacing w:line="520" w:lineRule="exact"/>
              <w:jc w:val="center"/>
              <w:rPr>
                <w:rFonts w:ascii="仿宋_GB2312" w:eastAsia="仿宋_GB2312"/>
              </w:rPr>
            </w:pPr>
            <w:r>
              <w:rPr>
                <w:color w:val="000000"/>
                <w:sz w:val="22"/>
              </w:rPr>
              <w:t>24</w:t>
            </w:r>
          </w:p>
        </w:tc>
        <w:tc>
          <w:tcPr>
            <w:tcW w:w="2205" w:type="dxa"/>
          </w:tcPr>
          <w:p>
            <w:pPr>
              <w:spacing w:line="520" w:lineRule="exact"/>
              <w:jc w:val="center"/>
              <w:rPr>
                <w:rFonts w:ascii="仿宋_GB2312" w:eastAsia="仿宋_GB2312"/>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Align w:val="bottom"/>
          </w:tcPr>
          <w:p>
            <w:pPr>
              <w:spacing w:line="520" w:lineRule="exact"/>
              <w:jc w:val="center"/>
              <w:rPr>
                <w:rFonts w:ascii="仿宋_GB2312" w:eastAsia="仿宋_GB2312"/>
              </w:rPr>
            </w:pPr>
            <w:r>
              <w:rPr>
                <w:color w:val="000000"/>
                <w:sz w:val="22"/>
              </w:rPr>
              <w:t>9</w:t>
            </w:r>
          </w:p>
        </w:tc>
        <w:tc>
          <w:tcPr>
            <w:tcW w:w="2086" w:type="dxa"/>
          </w:tcPr>
          <w:p>
            <w:pPr>
              <w:spacing w:line="520" w:lineRule="exact"/>
              <w:jc w:val="center"/>
              <w:rPr>
                <w:rFonts w:ascii="仿宋_GB2312" w:eastAsia="仿宋_GB2312"/>
              </w:rPr>
            </w:pPr>
          </w:p>
        </w:tc>
        <w:tc>
          <w:tcPr>
            <w:tcW w:w="2410" w:type="dxa"/>
          </w:tcPr>
          <w:p>
            <w:pPr>
              <w:spacing w:line="520" w:lineRule="exact"/>
              <w:jc w:val="center"/>
              <w:rPr>
                <w:rFonts w:ascii="仿宋_GB2312" w:eastAsia="仿宋_GB2312"/>
              </w:rPr>
            </w:pPr>
            <w:r>
              <w:rPr>
                <w:color w:val="000000"/>
                <w:sz w:val="22"/>
              </w:rPr>
              <w:t>25</w:t>
            </w:r>
          </w:p>
        </w:tc>
        <w:tc>
          <w:tcPr>
            <w:tcW w:w="2205" w:type="dxa"/>
          </w:tcPr>
          <w:p>
            <w:pPr>
              <w:spacing w:line="520" w:lineRule="exact"/>
              <w:jc w:val="center"/>
              <w:rPr>
                <w:rFonts w:ascii="仿宋_GB2312" w:eastAsia="仿宋_GB2312"/>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Align w:val="bottom"/>
          </w:tcPr>
          <w:p>
            <w:pPr>
              <w:spacing w:line="520" w:lineRule="exact"/>
              <w:jc w:val="center"/>
              <w:rPr>
                <w:rFonts w:ascii="仿宋_GB2312" w:eastAsia="仿宋_GB2312"/>
              </w:rPr>
            </w:pPr>
            <w:r>
              <w:rPr>
                <w:color w:val="000000"/>
                <w:sz w:val="22"/>
              </w:rPr>
              <w:t>10</w:t>
            </w:r>
          </w:p>
        </w:tc>
        <w:tc>
          <w:tcPr>
            <w:tcW w:w="2086" w:type="dxa"/>
          </w:tcPr>
          <w:p>
            <w:pPr>
              <w:spacing w:line="520" w:lineRule="exact"/>
              <w:jc w:val="center"/>
              <w:rPr>
                <w:rFonts w:ascii="仿宋_GB2312" w:eastAsia="仿宋_GB2312"/>
              </w:rPr>
            </w:pPr>
          </w:p>
        </w:tc>
        <w:tc>
          <w:tcPr>
            <w:tcW w:w="2410" w:type="dxa"/>
          </w:tcPr>
          <w:p>
            <w:pPr>
              <w:spacing w:line="520" w:lineRule="exact"/>
              <w:jc w:val="center"/>
              <w:rPr>
                <w:rFonts w:ascii="仿宋_GB2312" w:eastAsia="仿宋_GB2312"/>
              </w:rPr>
            </w:pPr>
          </w:p>
        </w:tc>
        <w:tc>
          <w:tcPr>
            <w:tcW w:w="2205" w:type="dxa"/>
          </w:tcPr>
          <w:p>
            <w:pPr>
              <w:spacing w:line="520" w:lineRule="exact"/>
              <w:jc w:val="center"/>
              <w:rPr>
                <w:rFonts w:ascii="仿宋_GB2312" w:eastAsia="仿宋_GB2312"/>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Align w:val="bottom"/>
          </w:tcPr>
          <w:p>
            <w:pPr>
              <w:spacing w:line="520" w:lineRule="exact"/>
              <w:jc w:val="center"/>
              <w:rPr>
                <w:rFonts w:ascii="仿宋_GB2312" w:eastAsia="仿宋_GB2312"/>
              </w:rPr>
            </w:pPr>
            <w:r>
              <w:rPr>
                <w:color w:val="000000"/>
                <w:sz w:val="22"/>
              </w:rPr>
              <w:t>11</w:t>
            </w:r>
          </w:p>
        </w:tc>
        <w:tc>
          <w:tcPr>
            <w:tcW w:w="2086" w:type="dxa"/>
          </w:tcPr>
          <w:p>
            <w:pPr>
              <w:spacing w:line="520" w:lineRule="exact"/>
              <w:jc w:val="center"/>
              <w:rPr>
                <w:rFonts w:ascii="仿宋_GB2312" w:eastAsia="仿宋_GB2312"/>
              </w:rPr>
            </w:pPr>
          </w:p>
        </w:tc>
        <w:tc>
          <w:tcPr>
            <w:tcW w:w="2410" w:type="dxa"/>
          </w:tcPr>
          <w:p>
            <w:pPr>
              <w:spacing w:line="520" w:lineRule="exact"/>
              <w:jc w:val="center"/>
              <w:rPr>
                <w:color w:val="000000"/>
                <w:sz w:val="22"/>
                <w:szCs w:val="22"/>
              </w:rPr>
            </w:pPr>
          </w:p>
        </w:tc>
        <w:tc>
          <w:tcPr>
            <w:tcW w:w="2205" w:type="dxa"/>
          </w:tcPr>
          <w:p>
            <w:pPr>
              <w:spacing w:line="520" w:lineRule="exact"/>
              <w:jc w:val="center"/>
              <w:rPr>
                <w:rFonts w:ascii="仿宋_GB2312" w:eastAsia="仿宋_GB2312"/>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Align w:val="bottom"/>
          </w:tcPr>
          <w:p>
            <w:pPr>
              <w:spacing w:line="520" w:lineRule="exact"/>
              <w:jc w:val="center"/>
              <w:rPr>
                <w:rFonts w:ascii="仿宋_GB2312" w:eastAsia="仿宋_GB2312"/>
              </w:rPr>
            </w:pPr>
            <w:r>
              <w:rPr>
                <w:color w:val="000000"/>
                <w:sz w:val="22"/>
              </w:rPr>
              <w:t>12</w:t>
            </w:r>
          </w:p>
        </w:tc>
        <w:tc>
          <w:tcPr>
            <w:tcW w:w="2086" w:type="dxa"/>
          </w:tcPr>
          <w:p>
            <w:pPr>
              <w:spacing w:line="520" w:lineRule="exact"/>
              <w:jc w:val="center"/>
              <w:rPr>
                <w:rFonts w:ascii="仿宋_GB2312" w:eastAsia="仿宋_GB2312"/>
              </w:rPr>
            </w:pPr>
          </w:p>
        </w:tc>
        <w:tc>
          <w:tcPr>
            <w:tcW w:w="2410" w:type="dxa"/>
          </w:tcPr>
          <w:p>
            <w:pPr>
              <w:spacing w:line="520" w:lineRule="exact"/>
              <w:jc w:val="center"/>
              <w:rPr>
                <w:color w:val="000000"/>
                <w:sz w:val="22"/>
                <w:szCs w:val="22"/>
              </w:rPr>
            </w:pPr>
          </w:p>
        </w:tc>
        <w:tc>
          <w:tcPr>
            <w:tcW w:w="2205" w:type="dxa"/>
          </w:tcPr>
          <w:p>
            <w:pPr>
              <w:spacing w:line="520" w:lineRule="exact"/>
              <w:jc w:val="center"/>
              <w:rPr>
                <w:rFonts w:ascii="仿宋_GB2312" w:eastAsia="仿宋_GB2312"/>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Align w:val="bottom"/>
          </w:tcPr>
          <w:p>
            <w:pPr>
              <w:spacing w:line="520" w:lineRule="exact"/>
              <w:jc w:val="center"/>
              <w:rPr>
                <w:color w:val="000000"/>
                <w:sz w:val="22"/>
                <w:szCs w:val="22"/>
              </w:rPr>
            </w:pPr>
            <w:r>
              <w:rPr>
                <w:color w:val="000000"/>
                <w:sz w:val="22"/>
              </w:rPr>
              <w:t>13</w:t>
            </w:r>
          </w:p>
        </w:tc>
        <w:tc>
          <w:tcPr>
            <w:tcW w:w="2086" w:type="dxa"/>
          </w:tcPr>
          <w:p>
            <w:pPr>
              <w:spacing w:line="520" w:lineRule="exact"/>
              <w:jc w:val="center"/>
              <w:rPr>
                <w:rFonts w:ascii="仿宋_GB2312" w:eastAsia="仿宋_GB2312"/>
              </w:rPr>
            </w:pPr>
          </w:p>
        </w:tc>
        <w:tc>
          <w:tcPr>
            <w:tcW w:w="2410" w:type="dxa"/>
          </w:tcPr>
          <w:p>
            <w:pPr>
              <w:spacing w:line="520" w:lineRule="exact"/>
              <w:jc w:val="center"/>
              <w:rPr>
                <w:color w:val="000000"/>
                <w:sz w:val="22"/>
                <w:szCs w:val="22"/>
              </w:rPr>
            </w:pPr>
          </w:p>
        </w:tc>
        <w:tc>
          <w:tcPr>
            <w:tcW w:w="2205" w:type="dxa"/>
          </w:tcPr>
          <w:p>
            <w:pPr>
              <w:spacing w:line="520" w:lineRule="exact"/>
              <w:jc w:val="center"/>
              <w:rPr>
                <w:rFonts w:ascii="仿宋_GB2312" w:eastAsia="仿宋_GB2312"/>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Align w:val="bottom"/>
          </w:tcPr>
          <w:p>
            <w:pPr>
              <w:spacing w:line="520" w:lineRule="exact"/>
              <w:jc w:val="center"/>
              <w:rPr>
                <w:color w:val="000000"/>
                <w:sz w:val="22"/>
                <w:szCs w:val="22"/>
              </w:rPr>
            </w:pPr>
            <w:r>
              <w:rPr>
                <w:color w:val="000000"/>
                <w:sz w:val="22"/>
              </w:rPr>
              <w:t>14</w:t>
            </w:r>
          </w:p>
        </w:tc>
        <w:tc>
          <w:tcPr>
            <w:tcW w:w="2086" w:type="dxa"/>
          </w:tcPr>
          <w:p>
            <w:pPr>
              <w:spacing w:line="520" w:lineRule="exact"/>
              <w:jc w:val="center"/>
              <w:rPr>
                <w:rFonts w:ascii="仿宋_GB2312" w:eastAsia="仿宋_GB2312"/>
              </w:rPr>
            </w:pPr>
          </w:p>
        </w:tc>
        <w:tc>
          <w:tcPr>
            <w:tcW w:w="2410" w:type="dxa"/>
          </w:tcPr>
          <w:p>
            <w:pPr>
              <w:spacing w:line="520" w:lineRule="exact"/>
              <w:jc w:val="center"/>
              <w:rPr>
                <w:color w:val="000000"/>
                <w:sz w:val="22"/>
                <w:szCs w:val="22"/>
              </w:rPr>
            </w:pPr>
          </w:p>
        </w:tc>
        <w:tc>
          <w:tcPr>
            <w:tcW w:w="2205" w:type="dxa"/>
          </w:tcPr>
          <w:p>
            <w:pPr>
              <w:spacing w:line="520" w:lineRule="exact"/>
              <w:jc w:val="center"/>
              <w:rPr>
                <w:rFonts w:ascii="仿宋_GB2312" w:eastAsia="仿宋_GB2312"/>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tcPr>
          <w:p>
            <w:pPr>
              <w:spacing w:line="520" w:lineRule="exact"/>
              <w:jc w:val="center"/>
              <w:rPr>
                <w:rFonts w:ascii="仿宋_GB2312" w:eastAsia="仿宋_GB2312"/>
              </w:rPr>
            </w:pPr>
            <w:r>
              <w:rPr>
                <w:color w:val="000000"/>
                <w:sz w:val="22"/>
              </w:rPr>
              <w:t>15</w:t>
            </w:r>
          </w:p>
        </w:tc>
        <w:tc>
          <w:tcPr>
            <w:tcW w:w="2086" w:type="dxa"/>
          </w:tcPr>
          <w:p>
            <w:pPr>
              <w:spacing w:line="520" w:lineRule="exact"/>
              <w:jc w:val="center"/>
              <w:rPr>
                <w:rFonts w:ascii="仿宋_GB2312" w:eastAsia="仿宋_GB2312"/>
              </w:rPr>
            </w:pPr>
          </w:p>
        </w:tc>
        <w:tc>
          <w:tcPr>
            <w:tcW w:w="2410" w:type="dxa"/>
          </w:tcPr>
          <w:p>
            <w:pPr>
              <w:spacing w:line="520" w:lineRule="exact"/>
              <w:jc w:val="center"/>
              <w:rPr>
                <w:color w:val="000000"/>
                <w:sz w:val="22"/>
              </w:rPr>
            </w:pPr>
          </w:p>
        </w:tc>
        <w:tc>
          <w:tcPr>
            <w:tcW w:w="2205" w:type="dxa"/>
          </w:tcPr>
          <w:p>
            <w:pPr>
              <w:spacing w:line="520" w:lineRule="exact"/>
              <w:jc w:val="center"/>
              <w:rPr>
                <w:rFonts w:ascii="仿宋_GB2312" w:eastAsia="仿宋_GB2312"/>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tcPr>
          <w:p>
            <w:pPr>
              <w:spacing w:line="520" w:lineRule="exact"/>
              <w:jc w:val="center"/>
              <w:rPr>
                <w:rFonts w:ascii="仿宋_GB2312" w:eastAsia="仿宋_GB2312"/>
              </w:rPr>
            </w:pPr>
            <w:r>
              <w:rPr>
                <w:color w:val="000000"/>
                <w:sz w:val="22"/>
              </w:rPr>
              <w:t>16</w:t>
            </w:r>
          </w:p>
        </w:tc>
        <w:tc>
          <w:tcPr>
            <w:tcW w:w="2086" w:type="dxa"/>
          </w:tcPr>
          <w:p>
            <w:pPr>
              <w:spacing w:line="520" w:lineRule="exact"/>
              <w:jc w:val="center"/>
              <w:rPr>
                <w:rFonts w:ascii="仿宋_GB2312" w:eastAsia="仿宋_GB2312"/>
              </w:rPr>
            </w:pPr>
          </w:p>
        </w:tc>
        <w:tc>
          <w:tcPr>
            <w:tcW w:w="2410" w:type="dxa"/>
          </w:tcPr>
          <w:p>
            <w:pPr>
              <w:spacing w:line="520" w:lineRule="exact"/>
              <w:jc w:val="center"/>
              <w:rPr>
                <w:color w:val="000000"/>
                <w:sz w:val="22"/>
              </w:rPr>
            </w:pPr>
          </w:p>
        </w:tc>
        <w:tc>
          <w:tcPr>
            <w:tcW w:w="2205" w:type="dxa"/>
          </w:tcPr>
          <w:p>
            <w:pPr>
              <w:spacing w:line="520" w:lineRule="exact"/>
              <w:jc w:val="center"/>
              <w:rPr>
                <w:rFonts w:ascii="仿宋_GB2312" w:eastAsia="仿宋_GB2312"/>
              </w:rPr>
            </w:pPr>
          </w:p>
        </w:tc>
      </w:tr>
    </w:tbl>
    <w:p>
      <w:pPr>
        <w:spacing w:line="320" w:lineRule="exact"/>
        <w:ind w:firstLine="240" w:firstLineChars="100"/>
        <w:rPr>
          <w:rFonts w:ascii="仿宋_GB2312" w:eastAsia="仿宋_GB2312"/>
        </w:rPr>
      </w:pPr>
      <w:r>
        <w:rPr>
          <w:rFonts w:hint="eastAsia" w:ascii="仿宋_GB2312" w:eastAsia="仿宋_GB2312"/>
        </w:rPr>
        <w:t>注：1.此表每场职工读书活动需现场填写1张。</w:t>
      </w:r>
    </w:p>
    <w:p>
      <w:pPr>
        <w:spacing w:line="320" w:lineRule="exact"/>
        <w:ind w:firstLine="720" w:firstLineChars="300"/>
        <w:rPr>
          <w:rFonts w:ascii="仿宋_GB2312" w:eastAsia="仿宋_GB2312"/>
        </w:rPr>
      </w:pPr>
      <w:r>
        <w:rPr>
          <w:rFonts w:hint="eastAsia" w:ascii="仿宋_GB2312" w:eastAsia="仿宋_GB2312"/>
        </w:rPr>
        <w:t>2.参加人员签字需反映每次参与培训人数，如有需要可添加。</w:t>
      </w:r>
    </w:p>
    <w:p>
      <w:pPr>
        <w:spacing w:line="320" w:lineRule="exact"/>
        <w:ind w:firstLine="720" w:firstLineChars="300"/>
        <w:rPr>
          <w:rFonts w:ascii="仿宋_GB2312" w:eastAsia="仿宋_GB2312"/>
        </w:rPr>
      </w:pPr>
      <w:r>
        <w:rPr>
          <w:rFonts w:hint="eastAsia" w:ascii="仿宋_GB2312" w:eastAsia="仿宋_GB2312"/>
        </w:rPr>
        <w:t>3.此表签字</w:t>
      </w:r>
      <w:r>
        <w:rPr>
          <w:rFonts w:hint="eastAsia" w:ascii="仿宋_GB2312" w:eastAsia="仿宋_GB2312"/>
          <w:b/>
        </w:rPr>
        <w:t>原件</w:t>
      </w:r>
      <w:r>
        <w:rPr>
          <w:rFonts w:hint="eastAsia" w:ascii="仿宋_GB2312" w:eastAsia="仿宋_GB2312"/>
        </w:rPr>
        <w:t>盖章后提报。</w:t>
      </w:r>
    </w:p>
    <w:p>
      <w:pPr>
        <w:spacing w:line="320" w:lineRule="exact"/>
        <w:ind w:firstLine="480"/>
        <w:rPr>
          <w:rFonts w:ascii="仿宋_GB2312" w:eastAsia="仿宋_GB2312"/>
          <w:sz w:val="20"/>
          <w:szCs w:val="20"/>
        </w:rPr>
      </w:pPr>
    </w:p>
    <w:p>
      <w:pPr>
        <w:pStyle w:val="6"/>
        <w:adjustRightInd w:val="0"/>
        <w:snapToGrid w:val="0"/>
        <w:spacing w:before="0" w:beforeAutospacing="0" w:after="0" w:afterAutospacing="0" w:line="560" w:lineRule="exact"/>
        <w:ind w:right="1303"/>
        <w:rPr>
          <w:rFonts w:ascii="黑体" w:hAnsi="黑体" w:eastAsia="黑体"/>
          <w:sz w:val="32"/>
          <w:szCs w:val="32"/>
        </w:rPr>
      </w:pPr>
      <w:r>
        <w:rPr>
          <w:rFonts w:hint="eastAsia" w:ascii="黑体" w:hAnsi="黑体" w:eastAsia="黑体"/>
          <w:sz w:val="32"/>
          <w:szCs w:val="32"/>
        </w:rPr>
        <w:t>附表</w:t>
      </w:r>
      <w:r>
        <w:rPr>
          <w:rFonts w:ascii="黑体" w:hAnsi="黑体" w:eastAsia="黑体"/>
          <w:sz w:val="32"/>
          <w:szCs w:val="32"/>
        </w:rPr>
        <w:t>4</w:t>
      </w:r>
      <w:bookmarkStart w:id="2" w:name="OLE_LINK6"/>
      <w:bookmarkStart w:id="3" w:name="OLE_LINK5"/>
    </w:p>
    <w:p>
      <w:pPr>
        <w:pStyle w:val="6"/>
        <w:snapToGrid w:val="0"/>
        <w:spacing w:before="0" w:beforeAutospacing="0" w:afterLines="50" w:afterAutospacing="0" w:line="560" w:lineRule="exact"/>
        <w:jc w:val="center"/>
        <w:rPr>
          <w:rFonts w:ascii="方正小标宋简体" w:eastAsia="方正小标宋简体"/>
          <w:sz w:val="36"/>
          <w:szCs w:val="36"/>
        </w:rPr>
      </w:pPr>
      <w:r>
        <w:rPr>
          <w:rFonts w:hint="eastAsia" w:ascii="方正小标宋简体" w:eastAsia="方正小标宋简体"/>
          <w:sz w:val="36"/>
          <w:szCs w:val="36"/>
          <w:lang w:eastAsia="zh-CN"/>
        </w:rPr>
        <w:t>首都示范性工匠学院</w:t>
      </w:r>
      <w:r>
        <w:rPr>
          <w:rFonts w:ascii="方正小标宋简体" w:eastAsia="方正小标宋简体"/>
          <w:sz w:val="36"/>
          <w:szCs w:val="36"/>
        </w:rPr>
        <w:t>202</w:t>
      </w:r>
      <w:r>
        <w:rPr>
          <w:rFonts w:hint="eastAsia" w:ascii="方正小标宋简体" w:eastAsia="方正小标宋简体"/>
          <w:sz w:val="36"/>
          <w:szCs w:val="36"/>
        </w:rPr>
        <w:t>5</w:t>
      </w:r>
      <w:r>
        <w:rPr>
          <w:rFonts w:ascii="方正小标宋简体" w:eastAsia="方正小标宋简体"/>
          <w:sz w:val="36"/>
          <w:szCs w:val="36"/>
        </w:rPr>
        <w:t>年</w:t>
      </w:r>
      <w:r>
        <w:rPr>
          <w:rFonts w:hint="eastAsia" w:ascii="方正小标宋简体" w:eastAsia="方正小标宋简体"/>
          <w:sz w:val="36"/>
          <w:szCs w:val="36"/>
        </w:rPr>
        <w:t>职工读书活动评价表</w:t>
      </w:r>
      <w:bookmarkEnd w:id="2"/>
      <w:bookmarkEnd w:id="3"/>
      <w:r>
        <w:rPr>
          <w:rFonts w:hint="eastAsia" w:ascii="仿宋_GB2312" w:eastAsia="仿宋_GB2312"/>
        </w:rPr>
        <w:t xml:space="preserve"> </w:t>
      </w:r>
      <w:r>
        <w:rPr>
          <w:rFonts w:ascii="仿宋_GB2312" w:eastAsia="仿宋_GB2312"/>
        </w:rPr>
        <w:t xml:space="preserve">                                    </w:t>
      </w:r>
    </w:p>
    <w:p>
      <w:pPr>
        <w:spacing w:line="520" w:lineRule="exact"/>
        <w:rPr>
          <w:rFonts w:ascii="仿宋_GB2312" w:eastAsia="仿宋_GB2312"/>
          <w:kern w:val="2"/>
        </w:rPr>
      </w:pPr>
      <w:r>
        <w:rPr>
          <w:rFonts w:hint="eastAsia" w:ascii="仿宋_GB2312" w:eastAsia="仿宋_GB2312"/>
          <w:kern w:val="2"/>
        </w:rPr>
        <w:t xml:space="preserve">组织单位名称（盖章）：                         </w:t>
      </w:r>
    </w:p>
    <w:p>
      <w:pPr>
        <w:spacing w:line="520" w:lineRule="exact"/>
        <w:ind w:firstLine="5520" w:firstLineChars="2300"/>
        <w:rPr>
          <w:rFonts w:ascii="仿宋_GB2312" w:eastAsia="仿宋_GB2312"/>
          <w:color w:val="000000"/>
        </w:rPr>
      </w:pPr>
      <w:r>
        <w:rPr>
          <w:rFonts w:hint="eastAsia" w:ascii="仿宋_GB2312" w:eastAsia="仿宋_GB2312"/>
        </w:rPr>
        <w:t xml:space="preserve">年 </w:t>
      </w:r>
      <w:r>
        <w:rPr>
          <w:rFonts w:ascii="仿宋_GB2312" w:eastAsia="仿宋_GB2312"/>
        </w:rPr>
        <w:t xml:space="preserve"> </w:t>
      </w:r>
      <w:r>
        <w:rPr>
          <w:rFonts w:hint="eastAsia" w:ascii="仿宋_GB2312" w:eastAsia="仿宋_GB2312"/>
        </w:rPr>
        <w:t xml:space="preserve">月 </w:t>
      </w:r>
      <w:r>
        <w:rPr>
          <w:rFonts w:ascii="仿宋_GB2312" w:eastAsia="仿宋_GB2312"/>
        </w:rPr>
        <w:t xml:space="preserve"> </w:t>
      </w:r>
      <w:r>
        <w:rPr>
          <w:rFonts w:hint="eastAsia" w:ascii="仿宋_GB2312" w:eastAsia="仿宋_GB2312"/>
        </w:rPr>
        <w:t xml:space="preserve">日 </w:t>
      </w:r>
      <w:r>
        <w:rPr>
          <w:rFonts w:ascii="仿宋_GB2312" w:eastAsia="仿宋_GB2312"/>
        </w:rPr>
        <w:t xml:space="preserve">  </w:t>
      </w:r>
      <w:r>
        <w:rPr>
          <w:rFonts w:hint="eastAsia" w:ascii="仿宋_GB2312" w:eastAsia="仿宋_GB2312"/>
        </w:rPr>
        <w:t>第  次读书活动</w:t>
      </w:r>
    </w:p>
    <w:tbl>
      <w:tblPr>
        <w:tblStyle w:val="7"/>
        <w:tblW w:w="877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54"/>
        <w:gridCol w:w="1305"/>
        <w:gridCol w:w="912"/>
        <w:gridCol w:w="1965"/>
        <w:gridCol w:w="1376"/>
        <w:gridCol w:w="184"/>
        <w:gridCol w:w="158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454" w:type="dxa"/>
            <w:vAlign w:val="center"/>
          </w:tcPr>
          <w:p>
            <w:pPr>
              <w:widowControl w:val="0"/>
              <w:jc w:val="center"/>
              <w:rPr>
                <w:rFonts w:ascii="仿宋_GB2312" w:eastAsia="仿宋_GB2312" w:cs="仿宋_GB2312"/>
                <w:kern w:val="2"/>
              </w:rPr>
            </w:pPr>
            <w:r>
              <w:rPr>
                <w:rFonts w:hint="eastAsia" w:ascii="仿宋_GB2312" w:eastAsia="仿宋_GB2312" w:cs="仿宋_GB2312"/>
                <w:kern w:val="2"/>
              </w:rPr>
              <w:t>课程名称</w:t>
            </w:r>
          </w:p>
        </w:tc>
        <w:tc>
          <w:tcPr>
            <w:tcW w:w="2217" w:type="dxa"/>
            <w:gridSpan w:val="2"/>
            <w:vAlign w:val="center"/>
          </w:tcPr>
          <w:p>
            <w:pPr>
              <w:jc w:val="center"/>
              <w:rPr>
                <w:rFonts w:ascii="仿宋_GB2312" w:eastAsia="仿宋_GB2312"/>
              </w:rPr>
            </w:pPr>
          </w:p>
        </w:tc>
        <w:tc>
          <w:tcPr>
            <w:tcW w:w="1965" w:type="dxa"/>
            <w:vAlign w:val="center"/>
          </w:tcPr>
          <w:p>
            <w:pPr>
              <w:jc w:val="center"/>
              <w:rPr>
                <w:rFonts w:ascii="仿宋_GB2312" w:eastAsia="仿宋_GB2312"/>
              </w:rPr>
            </w:pPr>
            <w:r>
              <w:rPr>
                <w:rFonts w:hint="eastAsia" w:ascii="仿宋_GB2312" w:eastAsia="仿宋_GB2312" w:hAnsiTheme="minorEastAsia"/>
              </w:rPr>
              <w:t>活动主题</w:t>
            </w:r>
          </w:p>
        </w:tc>
        <w:tc>
          <w:tcPr>
            <w:tcW w:w="3140" w:type="dxa"/>
            <w:gridSpan w:val="3"/>
            <w:vAlign w:val="center"/>
          </w:tcPr>
          <w:p>
            <w:pPr>
              <w:jc w:val="center"/>
              <w:rPr>
                <w:rFonts w:ascii="仿宋_GB2312" w:eastAsia="仿宋_GB231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454" w:type="dxa"/>
            <w:vAlign w:val="center"/>
          </w:tcPr>
          <w:p>
            <w:pPr>
              <w:widowControl w:val="0"/>
              <w:jc w:val="center"/>
              <w:rPr>
                <w:rFonts w:ascii="仿宋_GB2312" w:eastAsia="仿宋_GB2312" w:cs="仿宋_GB2312"/>
                <w:kern w:val="2"/>
              </w:rPr>
            </w:pPr>
            <w:r>
              <w:rPr>
                <w:rFonts w:hint="eastAsia" w:ascii="仿宋_GB2312" w:eastAsia="仿宋_GB2312" w:cs="仿宋_GB2312"/>
                <w:kern w:val="2"/>
              </w:rPr>
              <w:t>举办时间</w:t>
            </w:r>
          </w:p>
        </w:tc>
        <w:tc>
          <w:tcPr>
            <w:tcW w:w="7322" w:type="dxa"/>
            <w:gridSpan w:val="6"/>
            <w:vAlign w:val="center"/>
          </w:tcPr>
          <w:p>
            <w:pPr>
              <w:jc w:val="center"/>
              <w:rPr>
                <w:rFonts w:ascii="仿宋_GB2312" w:eastAsia="仿宋_GB231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454" w:type="dxa"/>
            <w:vAlign w:val="center"/>
          </w:tcPr>
          <w:p>
            <w:pPr>
              <w:widowControl w:val="0"/>
              <w:jc w:val="center"/>
              <w:rPr>
                <w:rFonts w:ascii="仿宋_GB2312" w:eastAsia="仿宋_GB2312" w:cs="仿宋_GB2312"/>
                <w:kern w:val="2"/>
              </w:rPr>
            </w:pPr>
            <w:r>
              <w:rPr>
                <w:rFonts w:hint="eastAsia" w:ascii="仿宋_GB2312" w:eastAsia="仿宋_GB2312" w:cs="仿宋_GB2312"/>
                <w:kern w:val="2"/>
              </w:rPr>
              <w:t>主讲人姓名</w:t>
            </w:r>
          </w:p>
        </w:tc>
        <w:tc>
          <w:tcPr>
            <w:tcW w:w="7322" w:type="dxa"/>
            <w:gridSpan w:val="6"/>
            <w:vAlign w:val="center"/>
          </w:tcPr>
          <w:p>
            <w:pPr>
              <w:jc w:val="center"/>
              <w:rPr>
                <w:rFonts w:ascii="仿宋_GB2312" w:eastAsia="仿宋_GB231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454" w:type="dxa"/>
            <w:vAlign w:val="center"/>
          </w:tcPr>
          <w:p>
            <w:pPr>
              <w:widowControl w:val="0"/>
              <w:jc w:val="center"/>
              <w:rPr>
                <w:rFonts w:ascii="仿宋_GB2312" w:eastAsia="仿宋_GB2312" w:cs="仿宋_GB2312"/>
                <w:kern w:val="2"/>
              </w:rPr>
            </w:pPr>
            <w:r>
              <w:rPr>
                <w:rFonts w:hint="eastAsia" w:ascii="仿宋_GB2312" w:eastAsia="仿宋_GB2312" w:cs="仿宋_GB2312"/>
                <w:kern w:val="2"/>
              </w:rPr>
              <w:t>负责人姓名</w:t>
            </w:r>
          </w:p>
        </w:tc>
        <w:tc>
          <w:tcPr>
            <w:tcW w:w="1305" w:type="dxa"/>
            <w:vAlign w:val="center"/>
          </w:tcPr>
          <w:p>
            <w:pPr>
              <w:jc w:val="center"/>
              <w:rPr>
                <w:rFonts w:ascii="仿宋_GB2312" w:eastAsia="仿宋_GB2312" w:cs="宋体-18030"/>
              </w:rPr>
            </w:pPr>
          </w:p>
        </w:tc>
        <w:tc>
          <w:tcPr>
            <w:tcW w:w="912" w:type="dxa"/>
            <w:vAlign w:val="center"/>
          </w:tcPr>
          <w:p>
            <w:pPr>
              <w:jc w:val="center"/>
              <w:rPr>
                <w:rFonts w:ascii="仿宋_GB2312" w:eastAsia="仿宋_GB2312"/>
              </w:rPr>
            </w:pPr>
            <w:r>
              <w:rPr>
                <w:rFonts w:hint="eastAsia" w:ascii="仿宋_GB2312" w:eastAsia="仿宋_GB2312"/>
              </w:rPr>
              <w:t>职务</w:t>
            </w:r>
          </w:p>
        </w:tc>
        <w:tc>
          <w:tcPr>
            <w:tcW w:w="1965" w:type="dxa"/>
            <w:vAlign w:val="center"/>
          </w:tcPr>
          <w:p>
            <w:pPr>
              <w:jc w:val="center"/>
              <w:rPr>
                <w:rFonts w:ascii="仿宋_GB2312" w:eastAsia="仿宋_GB2312"/>
                <w:sz w:val="21"/>
                <w:szCs w:val="21"/>
              </w:rPr>
            </w:pPr>
          </w:p>
        </w:tc>
        <w:tc>
          <w:tcPr>
            <w:tcW w:w="1376" w:type="dxa"/>
            <w:vAlign w:val="center"/>
          </w:tcPr>
          <w:p>
            <w:pPr>
              <w:jc w:val="center"/>
              <w:rPr>
                <w:rFonts w:ascii="仿宋_GB2312" w:eastAsia="仿宋_GB2312"/>
              </w:rPr>
            </w:pPr>
            <w:r>
              <w:rPr>
                <w:rFonts w:hint="eastAsia" w:ascii="仿宋_GB2312" w:eastAsia="仿宋_GB2312" w:cs="仿宋_GB2312"/>
                <w:kern w:val="2"/>
              </w:rPr>
              <w:t>联系方式</w:t>
            </w:r>
          </w:p>
        </w:tc>
        <w:tc>
          <w:tcPr>
            <w:tcW w:w="1764" w:type="dxa"/>
            <w:gridSpan w:val="2"/>
            <w:vAlign w:val="center"/>
          </w:tcPr>
          <w:p>
            <w:pPr>
              <w:jc w:val="center"/>
              <w:rPr>
                <w:rFonts w:ascii="仿宋_GB2312" w:eastAsia="仿宋_GB231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454" w:type="dxa"/>
            <w:vAlign w:val="center"/>
          </w:tcPr>
          <w:p>
            <w:pPr>
              <w:widowControl w:val="0"/>
              <w:jc w:val="center"/>
              <w:rPr>
                <w:rFonts w:ascii="仿宋_GB2312" w:eastAsia="仿宋_GB2312" w:cs="仿宋_GB2312"/>
                <w:kern w:val="2"/>
              </w:rPr>
            </w:pPr>
            <w:r>
              <w:rPr>
                <w:rFonts w:hint="eastAsia" w:ascii="仿宋_GB2312" w:eastAsia="仿宋_GB2312" w:cs="仿宋_GB2312"/>
                <w:kern w:val="2"/>
              </w:rPr>
              <w:t>经办人姓名</w:t>
            </w:r>
          </w:p>
        </w:tc>
        <w:tc>
          <w:tcPr>
            <w:tcW w:w="1305" w:type="dxa"/>
            <w:vAlign w:val="center"/>
          </w:tcPr>
          <w:p>
            <w:pPr>
              <w:jc w:val="center"/>
              <w:rPr>
                <w:rFonts w:ascii="仿宋_GB2312" w:eastAsia="仿宋_GB2312" w:cs="宋体-18030"/>
              </w:rPr>
            </w:pPr>
          </w:p>
        </w:tc>
        <w:tc>
          <w:tcPr>
            <w:tcW w:w="912" w:type="dxa"/>
            <w:vAlign w:val="center"/>
          </w:tcPr>
          <w:p>
            <w:pPr>
              <w:jc w:val="center"/>
              <w:rPr>
                <w:rFonts w:ascii="仿宋_GB2312" w:eastAsia="仿宋_GB2312"/>
              </w:rPr>
            </w:pPr>
            <w:r>
              <w:rPr>
                <w:rFonts w:hint="eastAsia" w:ascii="仿宋_GB2312" w:eastAsia="仿宋_GB2312"/>
              </w:rPr>
              <w:t>职务</w:t>
            </w:r>
          </w:p>
        </w:tc>
        <w:tc>
          <w:tcPr>
            <w:tcW w:w="1965" w:type="dxa"/>
            <w:vAlign w:val="center"/>
          </w:tcPr>
          <w:p>
            <w:pPr>
              <w:jc w:val="center"/>
              <w:rPr>
                <w:rFonts w:ascii="仿宋_GB2312" w:eastAsia="仿宋_GB2312"/>
                <w:sz w:val="21"/>
                <w:szCs w:val="21"/>
              </w:rPr>
            </w:pPr>
          </w:p>
        </w:tc>
        <w:tc>
          <w:tcPr>
            <w:tcW w:w="1376" w:type="dxa"/>
            <w:vAlign w:val="center"/>
          </w:tcPr>
          <w:p>
            <w:pPr>
              <w:jc w:val="center"/>
              <w:rPr>
                <w:rFonts w:ascii="仿宋_GB2312" w:eastAsia="仿宋_GB2312"/>
              </w:rPr>
            </w:pPr>
            <w:r>
              <w:rPr>
                <w:rFonts w:hint="eastAsia" w:ascii="仿宋_GB2312" w:eastAsia="仿宋_GB2312" w:cs="仿宋_GB2312"/>
                <w:kern w:val="2"/>
              </w:rPr>
              <w:t>联系方式</w:t>
            </w:r>
          </w:p>
        </w:tc>
        <w:tc>
          <w:tcPr>
            <w:tcW w:w="1764" w:type="dxa"/>
            <w:gridSpan w:val="2"/>
            <w:vAlign w:val="center"/>
          </w:tcPr>
          <w:p>
            <w:pPr>
              <w:jc w:val="center"/>
              <w:rPr>
                <w:rFonts w:ascii="仿宋_GB2312" w:eastAsia="仿宋_GB231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454" w:type="dxa"/>
            <w:vAlign w:val="center"/>
          </w:tcPr>
          <w:p>
            <w:pPr>
              <w:widowControl w:val="0"/>
              <w:jc w:val="center"/>
              <w:rPr>
                <w:rFonts w:ascii="仿宋_GB2312" w:eastAsia="仿宋_GB2312" w:cs="仿宋_GB2312"/>
                <w:kern w:val="2"/>
              </w:rPr>
            </w:pPr>
            <w:r>
              <w:rPr>
                <w:rFonts w:hint="eastAsia" w:ascii="仿宋_GB2312" w:eastAsia="仿宋_GB2312" w:cs="仿宋_GB2312"/>
                <w:kern w:val="2"/>
              </w:rPr>
              <w:t>活动满意度</w:t>
            </w:r>
          </w:p>
        </w:tc>
        <w:tc>
          <w:tcPr>
            <w:tcW w:w="7322" w:type="dxa"/>
            <w:gridSpan w:val="6"/>
            <w:vAlign w:val="center"/>
          </w:tcPr>
          <w:p>
            <w:pPr>
              <w:ind w:firstLine="480" w:firstLineChars="200"/>
              <w:jc w:val="center"/>
              <w:rPr>
                <w:rFonts w:ascii="仿宋_GB2312" w:eastAsia="仿宋_GB2312"/>
              </w:rPr>
            </w:pPr>
            <w:r>
              <w:rPr>
                <w:rFonts w:hint="eastAsia" w:ascii="仿宋_GB2312" w:eastAsia="仿宋_GB2312"/>
              </w:rPr>
              <w:t>□很满意    □满意    □一般    □不太满意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454" w:type="dxa"/>
            <w:vAlign w:val="center"/>
          </w:tcPr>
          <w:p>
            <w:pPr>
              <w:widowControl w:val="0"/>
              <w:jc w:val="center"/>
              <w:rPr>
                <w:rFonts w:ascii="仿宋_GB2312" w:eastAsia="仿宋_GB2312" w:cs="仿宋_GB2312"/>
                <w:kern w:val="2"/>
              </w:rPr>
            </w:pPr>
            <w:r>
              <w:rPr>
                <w:rFonts w:hint="eastAsia" w:ascii="仿宋_GB2312" w:eastAsia="仿宋_GB2312" w:cs="仿宋_GB2312"/>
                <w:kern w:val="2"/>
              </w:rPr>
              <w:t>师资满意度</w:t>
            </w:r>
          </w:p>
        </w:tc>
        <w:tc>
          <w:tcPr>
            <w:tcW w:w="7322" w:type="dxa"/>
            <w:gridSpan w:val="6"/>
            <w:vAlign w:val="center"/>
          </w:tcPr>
          <w:p>
            <w:pPr>
              <w:ind w:firstLine="480" w:firstLineChars="200"/>
              <w:jc w:val="center"/>
              <w:rPr>
                <w:rFonts w:ascii="仿宋_GB2312" w:eastAsia="仿宋_GB2312"/>
              </w:rPr>
            </w:pPr>
            <w:r>
              <w:rPr>
                <w:rFonts w:hint="eastAsia" w:ascii="仿宋_GB2312" w:eastAsia="仿宋_GB2312"/>
              </w:rPr>
              <w:t>□很满意    □满意    □一般    □不太满意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454" w:type="dxa"/>
            <w:vMerge w:val="restart"/>
            <w:vAlign w:val="center"/>
          </w:tcPr>
          <w:p>
            <w:pPr>
              <w:widowControl w:val="0"/>
              <w:jc w:val="center"/>
              <w:rPr>
                <w:rFonts w:ascii="仿宋_GB2312" w:eastAsia="仿宋_GB2312" w:cs="仿宋_GB2312"/>
                <w:kern w:val="2"/>
              </w:rPr>
            </w:pPr>
            <w:r>
              <w:rPr>
                <w:rFonts w:hint="eastAsia" w:ascii="仿宋_GB2312" w:eastAsia="仿宋_GB2312" w:cs="仿宋_GB2312"/>
                <w:kern w:val="2"/>
              </w:rPr>
              <w:t>师资评价</w:t>
            </w:r>
          </w:p>
          <w:p>
            <w:pPr>
              <w:widowControl w:val="0"/>
              <w:jc w:val="center"/>
              <w:rPr>
                <w:rFonts w:ascii="仿宋_GB2312" w:eastAsia="仿宋_GB2312" w:cs="仿宋_GB2312"/>
                <w:kern w:val="2"/>
              </w:rPr>
            </w:pPr>
          </w:p>
          <w:p>
            <w:pPr>
              <w:widowControl w:val="0"/>
              <w:jc w:val="center"/>
              <w:rPr>
                <w:rFonts w:ascii="仿宋_GB2312" w:eastAsia="仿宋_GB2312" w:cs="仿宋_GB2312"/>
                <w:kern w:val="2"/>
              </w:rPr>
            </w:pPr>
          </w:p>
        </w:tc>
        <w:tc>
          <w:tcPr>
            <w:tcW w:w="4182" w:type="dxa"/>
            <w:gridSpan w:val="3"/>
            <w:vAlign w:val="center"/>
          </w:tcPr>
          <w:p>
            <w:pPr>
              <w:jc w:val="center"/>
              <w:rPr>
                <w:rFonts w:ascii="仿宋_GB2312" w:eastAsia="仿宋_GB2312" w:cs="宋体-18030"/>
              </w:rPr>
            </w:pPr>
            <w:r>
              <w:rPr>
                <w:rFonts w:hint="eastAsia" w:ascii="仿宋_GB2312" w:eastAsia="仿宋_GB2312" w:cs="宋体-18030"/>
              </w:rPr>
              <w:t>评价内容</w:t>
            </w:r>
          </w:p>
        </w:tc>
        <w:tc>
          <w:tcPr>
            <w:tcW w:w="1560" w:type="dxa"/>
            <w:gridSpan w:val="2"/>
            <w:vAlign w:val="center"/>
          </w:tcPr>
          <w:p>
            <w:pPr>
              <w:jc w:val="center"/>
              <w:rPr>
                <w:rFonts w:ascii="仿宋_GB2312" w:eastAsia="仿宋_GB2312" w:cs="宋体-18030"/>
              </w:rPr>
            </w:pPr>
            <w:r>
              <w:rPr>
                <w:rFonts w:hint="eastAsia" w:ascii="仿宋_GB2312" w:eastAsia="仿宋_GB2312" w:cs="宋体-18030"/>
              </w:rPr>
              <w:t>标准得分</w:t>
            </w:r>
          </w:p>
        </w:tc>
        <w:tc>
          <w:tcPr>
            <w:tcW w:w="1580" w:type="dxa"/>
            <w:vAlign w:val="center"/>
          </w:tcPr>
          <w:p>
            <w:pPr>
              <w:jc w:val="center"/>
              <w:rPr>
                <w:rFonts w:ascii="仿宋_GB2312" w:eastAsia="仿宋_GB2312" w:cs="宋体-18030"/>
              </w:rPr>
            </w:pPr>
            <w:r>
              <w:rPr>
                <w:rFonts w:hint="eastAsia" w:ascii="仿宋_GB2312" w:eastAsia="仿宋_GB2312" w:cs="宋体-18030"/>
              </w:rPr>
              <w:t>实际得分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454" w:type="dxa"/>
            <w:vMerge w:val="continue"/>
            <w:vAlign w:val="center"/>
          </w:tcPr>
          <w:p>
            <w:pPr>
              <w:widowControl w:val="0"/>
              <w:jc w:val="center"/>
              <w:rPr>
                <w:rFonts w:ascii="仿宋_GB2312" w:eastAsia="仿宋_GB2312" w:cs="仿宋_GB2312"/>
                <w:kern w:val="2"/>
              </w:rPr>
            </w:pPr>
          </w:p>
        </w:tc>
        <w:tc>
          <w:tcPr>
            <w:tcW w:w="4182" w:type="dxa"/>
            <w:gridSpan w:val="3"/>
            <w:vAlign w:val="center"/>
          </w:tcPr>
          <w:p>
            <w:pPr>
              <w:rPr>
                <w:rFonts w:ascii="仿宋_GB2312" w:eastAsia="仿宋_GB2312" w:cs="宋体-18030"/>
              </w:rPr>
            </w:pPr>
            <w:r>
              <w:rPr>
                <w:rFonts w:hint="eastAsia" w:ascii="仿宋_GB2312" w:eastAsia="仿宋_GB2312" w:cs="宋体-18030"/>
              </w:rPr>
              <w:t>1.课程主题明确，内容契合实际需求</w:t>
            </w:r>
          </w:p>
        </w:tc>
        <w:tc>
          <w:tcPr>
            <w:tcW w:w="1560" w:type="dxa"/>
            <w:gridSpan w:val="2"/>
            <w:vAlign w:val="center"/>
          </w:tcPr>
          <w:p>
            <w:pPr>
              <w:spacing w:line="560" w:lineRule="exact"/>
              <w:contextualSpacing/>
              <w:jc w:val="center"/>
              <w:rPr>
                <w:rFonts w:ascii="仿宋_GB2312" w:hAnsi="等线" w:eastAsia="仿宋_GB2312" w:cs="仿宋"/>
                <w:bCs/>
                <w:lang w:eastAsia="en-US"/>
              </w:rPr>
            </w:pPr>
            <w:r>
              <w:rPr>
                <w:rFonts w:hint="eastAsia" w:ascii="仿宋_GB2312" w:hAnsi="等线" w:eastAsia="仿宋_GB2312" w:cs="仿宋"/>
                <w:bCs/>
                <w:lang w:eastAsia="en-US"/>
              </w:rPr>
              <w:t>20</w:t>
            </w:r>
          </w:p>
        </w:tc>
        <w:tc>
          <w:tcPr>
            <w:tcW w:w="1580" w:type="dxa"/>
            <w:vAlign w:val="center"/>
          </w:tcPr>
          <w:p>
            <w:pPr>
              <w:spacing w:line="560" w:lineRule="exact"/>
              <w:contextualSpacing/>
              <w:jc w:val="center"/>
              <w:rPr>
                <w:rFonts w:ascii="仿宋_GB2312" w:hAnsi="等线" w:eastAsia="仿宋_GB2312" w:cs="仿宋"/>
                <w:bCs/>
                <w:lang w:eastAsia="en-US"/>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454" w:type="dxa"/>
            <w:vMerge w:val="continue"/>
            <w:vAlign w:val="center"/>
          </w:tcPr>
          <w:p>
            <w:pPr>
              <w:widowControl w:val="0"/>
              <w:jc w:val="center"/>
              <w:rPr>
                <w:rFonts w:ascii="仿宋_GB2312" w:eastAsia="仿宋_GB2312" w:cs="仿宋_GB2312"/>
                <w:kern w:val="2"/>
              </w:rPr>
            </w:pPr>
          </w:p>
        </w:tc>
        <w:tc>
          <w:tcPr>
            <w:tcW w:w="4182" w:type="dxa"/>
            <w:gridSpan w:val="3"/>
            <w:vAlign w:val="center"/>
          </w:tcPr>
          <w:p>
            <w:pPr>
              <w:rPr>
                <w:rFonts w:ascii="仿宋_GB2312" w:eastAsia="仿宋_GB2312" w:cs="宋体-18030"/>
              </w:rPr>
            </w:pPr>
            <w:r>
              <w:rPr>
                <w:rFonts w:hint="eastAsia" w:ascii="仿宋_GB2312" w:eastAsia="仿宋_GB2312" w:cs="宋体-18030"/>
              </w:rPr>
              <w:t>2.课程设计合理、科学、严谨</w:t>
            </w:r>
          </w:p>
        </w:tc>
        <w:tc>
          <w:tcPr>
            <w:tcW w:w="1560" w:type="dxa"/>
            <w:gridSpan w:val="2"/>
            <w:vAlign w:val="center"/>
          </w:tcPr>
          <w:p>
            <w:pPr>
              <w:spacing w:line="560" w:lineRule="exact"/>
              <w:contextualSpacing/>
              <w:jc w:val="center"/>
              <w:rPr>
                <w:rFonts w:ascii="仿宋_GB2312" w:hAnsi="等线" w:eastAsia="仿宋_GB2312" w:cs="仿宋"/>
                <w:bCs/>
                <w:lang w:eastAsia="en-US"/>
              </w:rPr>
            </w:pPr>
            <w:r>
              <w:rPr>
                <w:rFonts w:hint="eastAsia" w:ascii="仿宋_GB2312" w:hAnsi="等线" w:eastAsia="仿宋_GB2312" w:cs="仿宋"/>
                <w:bCs/>
                <w:lang w:eastAsia="en-US"/>
              </w:rPr>
              <w:t>20</w:t>
            </w:r>
          </w:p>
        </w:tc>
        <w:tc>
          <w:tcPr>
            <w:tcW w:w="1580" w:type="dxa"/>
            <w:vAlign w:val="center"/>
          </w:tcPr>
          <w:p>
            <w:pPr>
              <w:spacing w:line="560" w:lineRule="exact"/>
              <w:contextualSpacing/>
              <w:jc w:val="center"/>
              <w:rPr>
                <w:rFonts w:ascii="仿宋_GB2312" w:hAnsi="等线" w:eastAsia="仿宋_GB2312" w:cs="仿宋"/>
                <w:bCs/>
                <w:lang w:eastAsia="en-US"/>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454" w:type="dxa"/>
            <w:vMerge w:val="continue"/>
            <w:vAlign w:val="center"/>
          </w:tcPr>
          <w:p>
            <w:pPr>
              <w:widowControl w:val="0"/>
              <w:jc w:val="center"/>
              <w:rPr>
                <w:rFonts w:ascii="仿宋_GB2312" w:eastAsia="仿宋_GB2312" w:cs="仿宋_GB2312"/>
                <w:kern w:val="2"/>
              </w:rPr>
            </w:pPr>
          </w:p>
        </w:tc>
        <w:tc>
          <w:tcPr>
            <w:tcW w:w="4182" w:type="dxa"/>
            <w:gridSpan w:val="3"/>
            <w:vAlign w:val="center"/>
          </w:tcPr>
          <w:p>
            <w:pPr>
              <w:rPr>
                <w:rFonts w:ascii="仿宋_GB2312" w:eastAsia="仿宋_GB2312" w:cs="宋体-18030"/>
              </w:rPr>
            </w:pPr>
            <w:r>
              <w:rPr>
                <w:rFonts w:hint="eastAsia" w:ascii="仿宋_GB2312" w:eastAsia="仿宋_GB2312" w:cs="宋体-18030"/>
              </w:rPr>
              <w:t>3.讲课形式良好，利于知识吸收</w:t>
            </w:r>
          </w:p>
        </w:tc>
        <w:tc>
          <w:tcPr>
            <w:tcW w:w="1560" w:type="dxa"/>
            <w:gridSpan w:val="2"/>
            <w:vAlign w:val="center"/>
          </w:tcPr>
          <w:p>
            <w:pPr>
              <w:autoSpaceDE w:val="0"/>
              <w:autoSpaceDN w:val="0"/>
              <w:spacing w:line="560" w:lineRule="exact"/>
              <w:contextualSpacing/>
              <w:jc w:val="center"/>
              <w:rPr>
                <w:rFonts w:ascii="仿宋_GB2312" w:hAnsi="等线" w:eastAsia="仿宋_GB2312" w:cs="仿宋"/>
                <w:bCs/>
                <w:lang w:eastAsia="en-US"/>
              </w:rPr>
            </w:pPr>
            <w:r>
              <w:rPr>
                <w:rFonts w:hint="eastAsia" w:ascii="仿宋_GB2312" w:hAnsi="等线" w:eastAsia="仿宋_GB2312" w:cs="仿宋"/>
                <w:bCs/>
                <w:lang w:eastAsia="en-US"/>
              </w:rPr>
              <w:t>20</w:t>
            </w:r>
          </w:p>
        </w:tc>
        <w:tc>
          <w:tcPr>
            <w:tcW w:w="1580" w:type="dxa"/>
            <w:vAlign w:val="center"/>
          </w:tcPr>
          <w:p>
            <w:pPr>
              <w:autoSpaceDE w:val="0"/>
              <w:autoSpaceDN w:val="0"/>
              <w:spacing w:line="560" w:lineRule="exact"/>
              <w:contextualSpacing/>
              <w:jc w:val="center"/>
              <w:rPr>
                <w:rFonts w:ascii="仿宋_GB2312" w:hAnsi="等线" w:eastAsia="仿宋_GB2312" w:cs="仿宋"/>
                <w:bCs/>
                <w:lang w:eastAsia="en-US"/>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454" w:type="dxa"/>
            <w:vMerge w:val="continue"/>
            <w:vAlign w:val="center"/>
          </w:tcPr>
          <w:p>
            <w:pPr>
              <w:widowControl w:val="0"/>
              <w:jc w:val="center"/>
              <w:rPr>
                <w:rFonts w:ascii="仿宋_GB2312" w:eastAsia="仿宋_GB2312" w:cs="仿宋_GB2312"/>
                <w:kern w:val="2"/>
              </w:rPr>
            </w:pPr>
          </w:p>
        </w:tc>
        <w:tc>
          <w:tcPr>
            <w:tcW w:w="4182" w:type="dxa"/>
            <w:gridSpan w:val="3"/>
            <w:vAlign w:val="center"/>
          </w:tcPr>
          <w:p>
            <w:pPr>
              <w:rPr>
                <w:rFonts w:ascii="仿宋_GB2312" w:eastAsia="仿宋_GB2312" w:cs="宋体-18030"/>
              </w:rPr>
            </w:pPr>
            <w:r>
              <w:rPr>
                <w:rFonts w:hint="eastAsia" w:ascii="仿宋_GB2312" w:hAnsi="等线" w:eastAsia="仿宋_GB2312" w:cs="仿宋"/>
                <w:bCs/>
              </w:rPr>
              <w:t>4.讲课效果良好，有助于问题解决</w:t>
            </w:r>
          </w:p>
        </w:tc>
        <w:tc>
          <w:tcPr>
            <w:tcW w:w="1560" w:type="dxa"/>
            <w:gridSpan w:val="2"/>
            <w:vAlign w:val="center"/>
          </w:tcPr>
          <w:p>
            <w:pPr>
              <w:autoSpaceDE w:val="0"/>
              <w:autoSpaceDN w:val="0"/>
              <w:spacing w:line="560" w:lineRule="exact"/>
              <w:contextualSpacing/>
              <w:jc w:val="center"/>
              <w:rPr>
                <w:rFonts w:ascii="仿宋_GB2312" w:hAnsi="等线" w:eastAsia="仿宋_GB2312" w:cs="仿宋"/>
                <w:bCs/>
              </w:rPr>
            </w:pPr>
            <w:r>
              <w:rPr>
                <w:rFonts w:hint="eastAsia" w:ascii="仿宋_GB2312" w:hAnsi="等线" w:eastAsia="仿宋_GB2312" w:cs="仿宋"/>
                <w:bCs/>
                <w:lang w:eastAsia="en-US"/>
              </w:rPr>
              <w:t>20</w:t>
            </w:r>
          </w:p>
        </w:tc>
        <w:tc>
          <w:tcPr>
            <w:tcW w:w="1580" w:type="dxa"/>
            <w:vAlign w:val="center"/>
          </w:tcPr>
          <w:p>
            <w:pPr>
              <w:autoSpaceDE w:val="0"/>
              <w:autoSpaceDN w:val="0"/>
              <w:spacing w:line="560" w:lineRule="exact"/>
              <w:contextualSpacing/>
              <w:jc w:val="center"/>
              <w:rPr>
                <w:rFonts w:ascii="仿宋_GB2312" w:hAnsi="等线" w:eastAsia="仿宋_GB2312" w:cs="仿宋"/>
                <w:bCs/>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454" w:type="dxa"/>
            <w:vMerge w:val="continue"/>
            <w:vAlign w:val="center"/>
          </w:tcPr>
          <w:p>
            <w:pPr>
              <w:widowControl w:val="0"/>
              <w:jc w:val="center"/>
              <w:rPr>
                <w:rFonts w:ascii="仿宋_GB2312" w:eastAsia="仿宋_GB2312" w:cs="仿宋_GB2312"/>
                <w:kern w:val="2"/>
              </w:rPr>
            </w:pPr>
          </w:p>
        </w:tc>
        <w:tc>
          <w:tcPr>
            <w:tcW w:w="4182" w:type="dxa"/>
            <w:gridSpan w:val="3"/>
            <w:vAlign w:val="center"/>
          </w:tcPr>
          <w:p>
            <w:pPr>
              <w:rPr>
                <w:rFonts w:ascii="仿宋_GB2312" w:eastAsia="仿宋_GB2312" w:cs="宋体-18030"/>
              </w:rPr>
            </w:pPr>
            <w:r>
              <w:rPr>
                <w:rFonts w:ascii="仿宋_GB2312" w:eastAsia="仿宋_GB2312" w:cs="宋体-18030"/>
              </w:rPr>
              <w:t>5</w:t>
            </w:r>
            <w:r>
              <w:rPr>
                <w:rFonts w:hint="eastAsia" w:ascii="仿宋_GB2312" w:eastAsia="仿宋_GB2312" w:cs="宋体-18030"/>
              </w:rPr>
              <w:t>.对课程及讲课教师整体评价</w:t>
            </w:r>
          </w:p>
        </w:tc>
        <w:tc>
          <w:tcPr>
            <w:tcW w:w="1560" w:type="dxa"/>
            <w:gridSpan w:val="2"/>
            <w:vAlign w:val="center"/>
          </w:tcPr>
          <w:p>
            <w:pPr>
              <w:autoSpaceDE w:val="0"/>
              <w:autoSpaceDN w:val="0"/>
              <w:spacing w:line="560" w:lineRule="exact"/>
              <w:contextualSpacing/>
              <w:jc w:val="center"/>
              <w:rPr>
                <w:rFonts w:ascii="仿宋_GB2312" w:hAnsi="等线" w:eastAsia="仿宋_GB2312" w:cs="仿宋"/>
                <w:bCs/>
                <w:lang w:eastAsia="en-US"/>
              </w:rPr>
            </w:pPr>
            <w:r>
              <w:rPr>
                <w:rFonts w:hint="eastAsia" w:ascii="仿宋_GB2312" w:hAnsi="等线" w:eastAsia="仿宋_GB2312" w:cs="仿宋"/>
                <w:bCs/>
                <w:lang w:eastAsia="en-US"/>
              </w:rPr>
              <w:t>20</w:t>
            </w:r>
          </w:p>
        </w:tc>
        <w:tc>
          <w:tcPr>
            <w:tcW w:w="1580" w:type="dxa"/>
            <w:vAlign w:val="center"/>
          </w:tcPr>
          <w:p>
            <w:pPr>
              <w:autoSpaceDE w:val="0"/>
              <w:autoSpaceDN w:val="0"/>
              <w:spacing w:line="560" w:lineRule="exact"/>
              <w:contextualSpacing/>
              <w:jc w:val="center"/>
              <w:rPr>
                <w:rFonts w:ascii="仿宋_GB2312" w:hAnsi="等线" w:eastAsia="仿宋_GB2312" w:cs="仿宋"/>
                <w:bCs/>
                <w:lang w:eastAsia="en-US"/>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454" w:type="dxa"/>
            <w:vMerge w:val="continue"/>
            <w:vAlign w:val="center"/>
          </w:tcPr>
          <w:p>
            <w:pPr>
              <w:widowControl w:val="0"/>
              <w:jc w:val="center"/>
              <w:rPr>
                <w:rFonts w:ascii="仿宋_GB2312" w:eastAsia="仿宋_GB2312" w:cs="仿宋_GB2312"/>
                <w:kern w:val="2"/>
              </w:rPr>
            </w:pPr>
          </w:p>
        </w:tc>
        <w:tc>
          <w:tcPr>
            <w:tcW w:w="4182" w:type="dxa"/>
            <w:gridSpan w:val="3"/>
            <w:vAlign w:val="center"/>
          </w:tcPr>
          <w:p>
            <w:pPr>
              <w:rPr>
                <w:rFonts w:ascii="仿宋_GB2312" w:eastAsia="仿宋_GB2312" w:cs="宋体-18030"/>
              </w:rPr>
            </w:pPr>
            <w:r>
              <w:rPr>
                <w:rFonts w:hint="eastAsia" w:ascii="仿宋_GB2312" w:hAnsi="等线" w:eastAsia="仿宋_GB2312" w:cs="仿宋"/>
                <w:bCs/>
                <w:lang w:eastAsia="en-US"/>
              </w:rPr>
              <w:t>合计：（满分 100 分）</w:t>
            </w:r>
          </w:p>
        </w:tc>
        <w:tc>
          <w:tcPr>
            <w:tcW w:w="3140" w:type="dxa"/>
            <w:gridSpan w:val="3"/>
            <w:vAlign w:val="center"/>
          </w:tcPr>
          <w:p>
            <w:pPr>
              <w:ind w:firstLine="480" w:firstLineChars="200"/>
              <w:jc w:val="center"/>
              <w:rPr>
                <w:rFonts w:ascii="仿宋_GB2312" w:eastAsia="仿宋_GB231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37" w:hRule="exact"/>
          <w:jc w:val="center"/>
        </w:trPr>
        <w:tc>
          <w:tcPr>
            <w:tcW w:w="1454" w:type="dxa"/>
            <w:vAlign w:val="center"/>
          </w:tcPr>
          <w:p>
            <w:pPr>
              <w:autoSpaceDE w:val="0"/>
              <w:autoSpaceDN w:val="0"/>
              <w:spacing w:line="240" w:lineRule="atLeast"/>
              <w:contextualSpacing/>
              <w:jc w:val="center"/>
              <w:rPr>
                <w:rFonts w:ascii="仿宋_GB2312" w:hAnsi="等线" w:eastAsia="仿宋_GB2312" w:cs="仿宋"/>
                <w:bCs/>
              </w:rPr>
            </w:pPr>
            <w:r>
              <w:rPr>
                <w:rFonts w:hint="eastAsia" w:ascii="仿宋_GB2312" w:hAnsi="等线" w:eastAsia="仿宋_GB2312" w:cs="仿宋"/>
                <w:bCs/>
              </w:rPr>
              <w:t>需要改进和</w:t>
            </w:r>
          </w:p>
          <w:p>
            <w:pPr>
              <w:widowControl w:val="0"/>
              <w:jc w:val="center"/>
              <w:rPr>
                <w:rFonts w:ascii="仿宋_GB2312" w:eastAsia="仿宋_GB2312" w:cs="仿宋_GB2312"/>
                <w:kern w:val="2"/>
              </w:rPr>
            </w:pPr>
            <w:r>
              <w:rPr>
                <w:rFonts w:hint="eastAsia" w:ascii="仿宋_GB2312" w:hAnsi="等线" w:eastAsia="仿宋_GB2312" w:cs="仿宋"/>
                <w:bCs/>
              </w:rPr>
              <w:t>提高的地方</w:t>
            </w:r>
          </w:p>
        </w:tc>
        <w:tc>
          <w:tcPr>
            <w:tcW w:w="7322" w:type="dxa"/>
            <w:gridSpan w:val="6"/>
            <w:vAlign w:val="center"/>
          </w:tcPr>
          <w:p>
            <w:pPr>
              <w:ind w:firstLine="480" w:firstLineChars="200"/>
              <w:jc w:val="center"/>
              <w:rPr>
                <w:rFonts w:ascii="仿宋_GB2312" w:eastAsia="仿宋_GB2312"/>
              </w:rPr>
            </w:pPr>
          </w:p>
        </w:tc>
      </w:tr>
    </w:tbl>
    <w:p>
      <w:pPr>
        <w:spacing w:line="320" w:lineRule="exact"/>
        <w:rPr>
          <w:rFonts w:ascii="仿宋_GB2312" w:eastAsia="仿宋_GB2312"/>
          <w:color w:val="000000"/>
        </w:rPr>
      </w:pPr>
      <w:r>
        <w:rPr>
          <w:rFonts w:hint="eastAsia" w:ascii="仿宋_GB2312" w:eastAsia="仿宋_GB2312"/>
          <w:color w:val="000000"/>
        </w:rPr>
        <w:t>注：1.此表每场读书活动填报1份，盖章后原件提交。</w:t>
      </w:r>
    </w:p>
    <w:p>
      <w:pPr>
        <w:ind w:firstLine="480" w:firstLineChars="200"/>
        <w:rPr>
          <w:rFonts w:ascii="仿宋_GB2312" w:eastAsia="仿宋_GB2312" w:cs="Times New Roman"/>
          <w:color w:val="000000"/>
        </w:rPr>
      </w:pPr>
      <w:r>
        <w:rPr>
          <w:rFonts w:ascii="仿宋_GB2312" w:eastAsia="仿宋_GB2312" w:cs="Times New Roman"/>
          <w:color w:val="000000"/>
        </w:rPr>
        <w:t>2</w:t>
      </w:r>
      <w:r>
        <w:rPr>
          <w:rFonts w:hint="eastAsia" w:ascii="仿宋_GB2312" w:eastAsia="仿宋_GB2312" w:cs="Times New Roman"/>
          <w:color w:val="000000"/>
        </w:rPr>
        <w:t>.选项填报范例：</w:t>
      </w:r>
      <w:r>
        <w:rPr>
          <w:rFonts w:ascii="仿宋_GB2312" w:eastAsia="仿宋_GB2312" w:cs="Times New Roman"/>
          <w:color w:val="000000"/>
        </w:rPr>
        <w:sym w:font="Wingdings" w:char="00FE"/>
      </w:r>
      <w:r>
        <w:rPr>
          <w:rFonts w:hint="eastAsia" w:ascii="仿宋_GB2312" w:eastAsia="仿宋_GB2312" w:cs="Times New Roman"/>
          <w:color w:val="000000"/>
        </w:rPr>
        <w:t>。</w:t>
      </w:r>
    </w:p>
    <w:p>
      <w:pPr>
        <w:pStyle w:val="6"/>
        <w:adjustRightInd w:val="0"/>
        <w:snapToGrid w:val="0"/>
        <w:spacing w:before="0" w:beforeAutospacing="0" w:after="0" w:afterAutospacing="0" w:line="560" w:lineRule="exact"/>
        <w:ind w:right="1303"/>
        <w:rPr>
          <w:rFonts w:ascii="黑体" w:hAnsi="黑体" w:eastAsia="黑体"/>
          <w:color w:val="auto"/>
          <w:sz w:val="32"/>
          <w:szCs w:val="32"/>
        </w:rPr>
      </w:pPr>
    </w:p>
    <w:sectPr>
      <w:pgSz w:w="11906" w:h="16838"/>
      <w:pgMar w:top="2098" w:right="1474" w:bottom="1985" w:left="1588"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宋体-18030">
    <w:altName w:val="微软雅黑"/>
    <w:panose1 w:val="00000000000000000000"/>
    <w:charset w:val="86"/>
    <w:family w:val="modern"/>
    <w:pitch w:val="default"/>
    <w:sig w:usb0="00000000" w:usb1="00000000" w:usb2="000A005E" w:usb3="00000000" w:csb0="00040001"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pict>
        <v:shape id="_x0000_s1026" o:spid="_x0000_s1026" o:spt="202" type="#_x0000_t202" style="position:absolute;left:0pt;margin-top:0pt;height:18.15pt;width:21.05pt;mso-position-horizontal:center;mso-position-horizontal-relative:margin;mso-wrap-style:none;z-index:251659264;mso-width-relative:page;mso-height-relative:page;" filled="f" stroked="f" coordsize="21600,21600" o:gfxdata="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rZl290gAAAAMBAAAPAAAAAAAAAAEAIAAAACIAAABkcnMvZG93bnJldi54bWxQ&#10;SwECFAAUAAAACACHTuJAMqIMnjYCAABhBAAADgAAAAAAAAABACAAAAAhAQAAZHJzL2Uyb0RvYy54&#10;bWxQSwUGAAAAAAYABgBZAQAAyQUAAAAA&#10;">
          <v:path/>
          <v:fill on="f" focussize="0,0"/>
          <v:stroke on="f" weight="0.5pt" joinstyle="miter"/>
          <v:imagedata o:title=""/>
          <o:lock v:ext="edit"/>
          <v:textbox inset="0mm,0mm,0mm,0mm" style="mso-fit-shape-to-text:t;">
            <w:txbxContent>
              <w:p>
                <w:pPr>
                  <w:pStyle w:val="4"/>
                  <w:jc w:val="center"/>
                </w:pPr>
                <w:sdt>
                  <w:sdtPr>
                    <w:id w:val="-1"/>
                  </w:sdtPr>
                  <w:sdtEndPr>
                    <w:rPr>
                      <w:rFonts w:hint="eastAsia" w:asciiTheme="minorEastAsia" w:hAnsiTheme="minorEastAsia" w:cstheme="minorEastAsia"/>
                      <w:sz w:val="28"/>
                      <w:szCs w:val="28"/>
                    </w:rPr>
                  </w:sdtEndPr>
                  <w:sdtContent>
                    <w:r>
                      <w:rPr>
                        <w:rFonts w:hint="eastAsia" w:asciiTheme="minorEastAsia" w:hAnsiTheme="minorEastAsia" w:cstheme="minorEastAsia"/>
                        <w:sz w:val="28"/>
                        <w:szCs w:val="28"/>
                        <w:lang w:val="zh-CN"/>
                      </w:rPr>
                      <w:t>-</w:t>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PAGE   \* MERGEFORMAT</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lang w:val="zh-CN"/>
                      </w:rPr>
                      <w:t>9</w:t>
                    </w:r>
                    <w:r>
                      <w:rPr>
                        <w:rFonts w:hint="eastAsia" w:asciiTheme="minorEastAsia" w:hAnsiTheme="minorEastAsia" w:cstheme="minorEastAsia"/>
                        <w:sz w:val="28"/>
                        <w:szCs w:val="28"/>
                      </w:rPr>
                      <w:fldChar w:fldCharType="end"/>
                    </w:r>
                  </w:sdtContent>
                </w:sdt>
                <w:r>
                  <w:rPr>
                    <w:rFonts w:hint="eastAsia" w:asciiTheme="minorEastAsia" w:hAnsiTheme="minorEastAsia" w:cstheme="minorEastAsia"/>
                    <w:sz w:val="28"/>
                    <w:szCs w:val="28"/>
                  </w:rPr>
                  <w:t>-</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20"/>
  <w:drawingGridVerticalSpacing w:val="163"/>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YwMmRjZDZlOTdhYzdiN2IxMGFjZTM0YWE4MzEwMWEifQ=="/>
  </w:docVars>
  <w:rsids>
    <w:rsidRoot w:val="00030CD2"/>
    <w:rsid w:val="00002B18"/>
    <w:rsid w:val="00002C9F"/>
    <w:rsid w:val="00002DFD"/>
    <w:rsid w:val="00004A86"/>
    <w:rsid w:val="00004EDC"/>
    <w:rsid w:val="00006A25"/>
    <w:rsid w:val="00007DB5"/>
    <w:rsid w:val="00007E90"/>
    <w:rsid w:val="00010E2E"/>
    <w:rsid w:val="00013EDF"/>
    <w:rsid w:val="000176F6"/>
    <w:rsid w:val="00020021"/>
    <w:rsid w:val="00022A5A"/>
    <w:rsid w:val="00030CD2"/>
    <w:rsid w:val="0003296B"/>
    <w:rsid w:val="00033D3E"/>
    <w:rsid w:val="00033FE6"/>
    <w:rsid w:val="00040798"/>
    <w:rsid w:val="00043692"/>
    <w:rsid w:val="00043BCA"/>
    <w:rsid w:val="00044100"/>
    <w:rsid w:val="00046740"/>
    <w:rsid w:val="00055927"/>
    <w:rsid w:val="0005640B"/>
    <w:rsid w:val="0005662C"/>
    <w:rsid w:val="00056C88"/>
    <w:rsid w:val="00061867"/>
    <w:rsid w:val="000644C2"/>
    <w:rsid w:val="00065F7C"/>
    <w:rsid w:val="00066475"/>
    <w:rsid w:val="0007075C"/>
    <w:rsid w:val="00073798"/>
    <w:rsid w:val="00073C87"/>
    <w:rsid w:val="00076808"/>
    <w:rsid w:val="00083229"/>
    <w:rsid w:val="00084DC0"/>
    <w:rsid w:val="00085F67"/>
    <w:rsid w:val="00086DCD"/>
    <w:rsid w:val="00090053"/>
    <w:rsid w:val="000906A1"/>
    <w:rsid w:val="00090DB4"/>
    <w:rsid w:val="000921ED"/>
    <w:rsid w:val="000936AD"/>
    <w:rsid w:val="00097B27"/>
    <w:rsid w:val="000A10A2"/>
    <w:rsid w:val="000A31EC"/>
    <w:rsid w:val="000A656C"/>
    <w:rsid w:val="000A69E4"/>
    <w:rsid w:val="000A69E8"/>
    <w:rsid w:val="000A6B36"/>
    <w:rsid w:val="000B0A7A"/>
    <w:rsid w:val="000B0BB9"/>
    <w:rsid w:val="000B0EE1"/>
    <w:rsid w:val="000B1CBF"/>
    <w:rsid w:val="000B31CD"/>
    <w:rsid w:val="000B492B"/>
    <w:rsid w:val="000B5A41"/>
    <w:rsid w:val="000C0522"/>
    <w:rsid w:val="000D0768"/>
    <w:rsid w:val="000D186A"/>
    <w:rsid w:val="000D1917"/>
    <w:rsid w:val="000E3792"/>
    <w:rsid w:val="000E5ACF"/>
    <w:rsid w:val="000E5F46"/>
    <w:rsid w:val="000E6FC8"/>
    <w:rsid w:val="000E748B"/>
    <w:rsid w:val="000F0ABD"/>
    <w:rsid w:val="000F184B"/>
    <w:rsid w:val="000F1EF6"/>
    <w:rsid w:val="000F5BAB"/>
    <w:rsid w:val="000F6137"/>
    <w:rsid w:val="001007F7"/>
    <w:rsid w:val="001008AC"/>
    <w:rsid w:val="00101AEF"/>
    <w:rsid w:val="001054F0"/>
    <w:rsid w:val="001060B4"/>
    <w:rsid w:val="00106848"/>
    <w:rsid w:val="00110ECC"/>
    <w:rsid w:val="00111193"/>
    <w:rsid w:val="00111FBF"/>
    <w:rsid w:val="00114D0D"/>
    <w:rsid w:val="00116266"/>
    <w:rsid w:val="001207E5"/>
    <w:rsid w:val="00121A00"/>
    <w:rsid w:val="00121E02"/>
    <w:rsid w:val="00122397"/>
    <w:rsid w:val="00123689"/>
    <w:rsid w:val="001266C3"/>
    <w:rsid w:val="001275BC"/>
    <w:rsid w:val="00137637"/>
    <w:rsid w:val="00143986"/>
    <w:rsid w:val="00145588"/>
    <w:rsid w:val="001466C9"/>
    <w:rsid w:val="00151814"/>
    <w:rsid w:val="001524CB"/>
    <w:rsid w:val="001531C0"/>
    <w:rsid w:val="001535F5"/>
    <w:rsid w:val="001546AD"/>
    <w:rsid w:val="001575F9"/>
    <w:rsid w:val="00160CE4"/>
    <w:rsid w:val="0016537B"/>
    <w:rsid w:val="001719AC"/>
    <w:rsid w:val="00172378"/>
    <w:rsid w:val="001742EC"/>
    <w:rsid w:val="00175D9E"/>
    <w:rsid w:val="00177E5A"/>
    <w:rsid w:val="00181193"/>
    <w:rsid w:val="001811CA"/>
    <w:rsid w:val="001829D0"/>
    <w:rsid w:val="001847D0"/>
    <w:rsid w:val="001856C6"/>
    <w:rsid w:val="0018642C"/>
    <w:rsid w:val="0018700F"/>
    <w:rsid w:val="00193802"/>
    <w:rsid w:val="00195900"/>
    <w:rsid w:val="001A4068"/>
    <w:rsid w:val="001A4E73"/>
    <w:rsid w:val="001B4733"/>
    <w:rsid w:val="001B559E"/>
    <w:rsid w:val="001C1AF6"/>
    <w:rsid w:val="001C281B"/>
    <w:rsid w:val="001C39BB"/>
    <w:rsid w:val="001C4DB6"/>
    <w:rsid w:val="001D3677"/>
    <w:rsid w:val="001D60C9"/>
    <w:rsid w:val="001E3324"/>
    <w:rsid w:val="001E7FDF"/>
    <w:rsid w:val="001F0734"/>
    <w:rsid w:val="001F0A81"/>
    <w:rsid w:val="001F198B"/>
    <w:rsid w:val="001F2F4F"/>
    <w:rsid w:val="001F7B66"/>
    <w:rsid w:val="002125D7"/>
    <w:rsid w:val="00213B1B"/>
    <w:rsid w:val="00215BBF"/>
    <w:rsid w:val="002171DA"/>
    <w:rsid w:val="00221010"/>
    <w:rsid w:val="00221C84"/>
    <w:rsid w:val="002235EF"/>
    <w:rsid w:val="00223F5C"/>
    <w:rsid w:val="00223F9F"/>
    <w:rsid w:val="002259CE"/>
    <w:rsid w:val="002314FD"/>
    <w:rsid w:val="0023175D"/>
    <w:rsid w:val="00231B3A"/>
    <w:rsid w:val="00231CDA"/>
    <w:rsid w:val="0023465B"/>
    <w:rsid w:val="002415F7"/>
    <w:rsid w:val="00242A59"/>
    <w:rsid w:val="00242E07"/>
    <w:rsid w:val="00245E23"/>
    <w:rsid w:val="00246BE9"/>
    <w:rsid w:val="002476A6"/>
    <w:rsid w:val="00250F1A"/>
    <w:rsid w:val="00253DE5"/>
    <w:rsid w:val="00256BF4"/>
    <w:rsid w:val="002608DD"/>
    <w:rsid w:val="00260D39"/>
    <w:rsid w:val="002611A3"/>
    <w:rsid w:val="002620AF"/>
    <w:rsid w:val="00267B24"/>
    <w:rsid w:val="00267E97"/>
    <w:rsid w:val="00267F7A"/>
    <w:rsid w:val="002701FF"/>
    <w:rsid w:val="00273DBA"/>
    <w:rsid w:val="00275390"/>
    <w:rsid w:val="00280442"/>
    <w:rsid w:val="002810B2"/>
    <w:rsid w:val="00290CF3"/>
    <w:rsid w:val="002917F9"/>
    <w:rsid w:val="00294997"/>
    <w:rsid w:val="00295AD2"/>
    <w:rsid w:val="00296DCD"/>
    <w:rsid w:val="002A1BEB"/>
    <w:rsid w:val="002A2D18"/>
    <w:rsid w:val="002A5EE4"/>
    <w:rsid w:val="002A622A"/>
    <w:rsid w:val="002B05F3"/>
    <w:rsid w:val="002B0658"/>
    <w:rsid w:val="002B1A8F"/>
    <w:rsid w:val="002B3946"/>
    <w:rsid w:val="002B3B11"/>
    <w:rsid w:val="002B3E8B"/>
    <w:rsid w:val="002B6312"/>
    <w:rsid w:val="002B799B"/>
    <w:rsid w:val="002C2B59"/>
    <w:rsid w:val="002C3DE4"/>
    <w:rsid w:val="002C7546"/>
    <w:rsid w:val="002D09AB"/>
    <w:rsid w:val="002D2ADB"/>
    <w:rsid w:val="002D383A"/>
    <w:rsid w:val="002D3E76"/>
    <w:rsid w:val="002D4A74"/>
    <w:rsid w:val="002D5B35"/>
    <w:rsid w:val="002E09CD"/>
    <w:rsid w:val="002E39B9"/>
    <w:rsid w:val="002E4E78"/>
    <w:rsid w:val="002F0448"/>
    <w:rsid w:val="002F4A67"/>
    <w:rsid w:val="002F6684"/>
    <w:rsid w:val="002F7D36"/>
    <w:rsid w:val="0030012E"/>
    <w:rsid w:val="0030018B"/>
    <w:rsid w:val="00300FEB"/>
    <w:rsid w:val="003010DF"/>
    <w:rsid w:val="003011F9"/>
    <w:rsid w:val="003029D7"/>
    <w:rsid w:val="00305598"/>
    <w:rsid w:val="00307DF5"/>
    <w:rsid w:val="0031134A"/>
    <w:rsid w:val="00311970"/>
    <w:rsid w:val="00312186"/>
    <w:rsid w:val="00313D1E"/>
    <w:rsid w:val="003177DD"/>
    <w:rsid w:val="0032173F"/>
    <w:rsid w:val="003257B3"/>
    <w:rsid w:val="003352C1"/>
    <w:rsid w:val="003429A7"/>
    <w:rsid w:val="00342A20"/>
    <w:rsid w:val="0034729E"/>
    <w:rsid w:val="00355015"/>
    <w:rsid w:val="00357827"/>
    <w:rsid w:val="00357F14"/>
    <w:rsid w:val="00360C2A"/>
    <w:rsid w:val="00361277"/>
    <w:rsid w:val="0036370D"/>
    <w:rsid w:val="00367034"/>
    <w:rsid w:val="00370023"/>
    <w:rsid w:val="003726BE"/>
    <w:rsid w:val="0037388F"/>
    <w:rsid w:val="0037472B"/>
    <w:rsid w:val="00376394"/>
    <w:rsid w:val="00376C0F"/>
    <w:rsid w:val="003771E8"/>
    <w:rsid w:val="00377222"/>
    <w:rsid w:val="00377EF2"/>
    <w:rsid w:val="00382524"/>
    <w:rsid w:val="003874CA"/>
    <w:rsid w:val="00387F5F"/>
    <w:rsid w:val="00392EB8"/>
    <w:rsid w:val="0039550F"/>
    <w:rsid w:val="00395950"/>
    <w:rsid w:val="00395C86"/>
    <w:rsid w:val="003A3F5F"/>
    <w:rsid w:val="003A4FEA"/>
    <w:rsid w:val="003B045D"/>
    <w:rsid w:val="003B0EE1"/>
    <w:rsid w:val="003B113C"/>
    <w:rsid w:val="003B1D4A"/>
    <w:rsid w:val="003B2139"/>
    <w:rsid w:val="003B6403"/>
    <w:rsid w:val="003B7595"/>
    <w:rsid w:val="003C2FA4"/>
    <w:rsid w:val="003C4574"/>
    <w:rsid w:val="003C5122"/>
    <w:rsid w:val="003C518D"/>
    <w:rsid w:val="003D1135"/>
    <w:rsid w:val="003D412E"/>
    <w:rsid w:val="003E1645"/>
    <w:rsid w:val="003E196E"/>
    <w:rsid w:val="003F1B4A"/>
    <w:rsid w:val="003F252A"/>
    <w:rsid w:val="003F2B15"/>
    <w:rsid w:val="00400502"/>
    <w:rsid w:val="00411C2C"/>
    <w:rsid w:val="004129B8"/>
    <w:rsid w:val="004225F9"/>
    <w:rsid w:val="00423FAF"/>
    <w:rsid w:val="00426A76"/>
    <w:rsid w:val="004273B3"/>
    <w:rsid w:val="004360E5"/>
    <w:rsid w:val="00437930"/>
    <w:rsid w:val="00437DDD"/>
    <w:rsid w:val="00441955"/>
    <w:rsid w:val="0044681E"/>
    <w:rsid w:val="00446F17"/>
    <w:rsid w:val="00447044"/>
    <w:rsid w:val="00452769"/>
    <w:rsid w:val="00454C15"/>
    <w:rsid w:val="00454CC3"/>
    <w:rsid w:val="00457BE8"/>
    <w:rsid w:val="00461349"/>
    <w:rsid w:val="00461492"/>
    <w:rsid w:val="00462B5B"/>
    <w:rsid w:val="004648A8"/>
    <w:rsid w:val="004703B6"/>
    <w:rsid w:val="0047058E"/>
    <w:rsid w:val="00470F45"/>
    <w:rsid w:val="004710A8"/>
    <w:rsid w:val="004717DB"/>
    <w:rsid w:val="00473772"/>
    <w:rsid w:val="00475B38"/>
    <w:rsid w:val="00477958"/>
    <w:rsid w:val="00477AC1"/>
    <w:rsid w:val="00477E60"/>
    <w:rsid w:val="00480DC2"/>
    <w:rsid w:val="004818E2"/>
    <w:rsid w:val="00482EFB"/>
    <w:rsid w:val="00484345"/>
    <w:rsid w:val="00494293"/>
    <w:rsid w:val="00494B99"/>
    <w:rsid w:val="004A18DC"/>
    <w:rsid w:val="004A5378"/>
    <w:rsid w:val="004B00EF"/>
    <w:rsid w:val="004B071A"/>
    <w:rsid w:val="004B1D88"/>
    <w:rsid w:val="004B32A3"/>
    <w:rsid w:val="004B4264"/>
    <w:rsid w:val="004B661F"/>
    <w:rsid w:val="004B6EA1"/>
    <w:rsid w:val="004C0B69"/>
    <w:rsid w:val="004C1782"/>
    <w:rsid w:val="004C44C6"/>
    <w:rsid w:val="004D139D"/>
    <w:rsid w:val="004D1BA5"/>
    <w:rsid w:val="004D1D6C"/>
    <w:rsid w:val="004D2DCF"/>
    <w:rsid w:val="004D2E6D"/>
    <w:rsid w:val="004D37B3"/>
    <w:rsid w:val="004D53B4"/>
    <w:rsid w:val="004E3499"/>
    <w:rsid w:val="004E68BF"/>
    <w:rsid w:val="004F0C22"/>
    <w:rsid w:val="004F3D33"/>
    <w:rsid w:val="004F526B"/>
    <w:rsid w:val="0050139A"/>
    <w:rsid w:val="00506ACB"/>
    <w:rsid w:val="00506D55"/>
    <w:rsid w:val="00510B96"/>
    <w:rsid w:val="00510DE8"/>
    <w:rsid w:val="00512895"/>
    <w:rsid w:val="00513A3F"/>
    <w:rsid w:val="00514A75"/>
    <w:rsid w:val="00523300"/>
    <w:rsid w:val="00523671"/>
    <w:rsid w:val="00524E4D"/>
    <w:rsid w:val="00531683"/>
    <w:rsid w:val="00532E99"/>
    <w:rsid w:val="00534EB5"/>
    <w:rsid w:val="00534FAB"/>
    <w:rsid w:val="00542293"/>
    <w:rsid w:val="00546C87"/>
    <w:rsid w:val="005503DD"/>
    <w:rsid w:val="00552F75"/>
    <w:rsid w:val="0055337C"/>
    <w:rsid w:val="0055648E"/>
    <w:rsid w:val="00560ACB"/>
    <w:rsid w:val="00565962"/>
    <w:rsid w:val="005661AE"/>
    <w:rsid w:val="00570691"/>
    <w:rsid w:val="00575090"/>
    <w:rsid w:val="0057512E"/>
    <w:rsid w:val="0057539E"/>
    <w:rsid w:val="00575A8C"/>
    <w:rsid w:val="005810D0"/>
    <w:rsid w:val="00582AE0"/>
    <w:rsid w:val="005902AB"/>
    <w:rsid w:val="0059219C"/>
    <w:rsid w:val="005928A2"/>
    <w:rsid w:val="00595A97"/>
    <w:rsid w:val="005970F3"/>
    <w:rsid w:val="005A0D2F"/>
    <w:rsid w:val="005A14DA"/>
    <w:rsid w:val="005A1776"/>
    <w:rsid w:val="005A4C20"/>
    <w:rsid w:val="005A6782"/>
    <w:rsid w:val="005B02F3"/>
    <w:rsid w:val="005B156D"/>
    <w:rsid w:val="005B565A"/>
    <w:rsid w:val="005B66CD"/>
    <w:rsid w:val="005B79C3"/>
    <w:rsid w:val="005B7B7A"/>
    <w:rsid w:val="005C02BB"/>
    <w:rsid w:val="005C1539"/>
    <w:rsid w:val="005C15BA"/>
    <w:rsid w:val="005C4122"/>
    <w:rsid w:val="005C7047"/>
    <w:rsid w:val="005D0113"/>
    <w:rsid w:val="005D0760"/>
    <w:rsid w:val="005D353D"/>
    <w:rsid w:val="005D7575"/>
    <w:rsid w:val="005E1C6D"/>
    <w:rsid w:val="005E381C"/>
    <w:rsid w:val="005E56CE"/>
    <w:rsid w:val="005E5900"/>
    <w:rsid w:val="005E6417"/>
    <w:rsid w:val="005F042C"/>
    <w:rsid w:val="005F4162"/>
    <w:rsid w:val="005F5397"/>
    <w:rsid w:val="005F5639"/>
    <w:rsid w:val="00601505"/>
    <w:rsid w:val="00602126"/>
    <w:rsid w:val="00603373"/>
    <w:rsid w:val="00605916"/>
    <w:rsid w:val="00606754"/>
    <w:rsid w:val="00607240"/>
    <w:rsid w:val="00607867"/>
    <w:rsid w:val="006124FA"/>
    <w:rsid w:val="0061260F"/>
    <w:rsid w:val="00613F35"/>
    <w:rsid w:val="006147B1"/>
    <w:rsid w:val="00615E5A"/>
    <w:rsid w:val="0061650D"/>
    <w:rsid w:val="00617E22"/>
    <w:rsid w:val="00623493"/>
    <w:rsid w:val="006277F8"/>
    <w:rsid w:val="0063275F"/>
    <w:rsid w:val="00640676"/>
    <w:rsid w:val="00643A48"/>
    <w:rsid w:val="00644553"/>
    <w:rsid w:val="00645B9C"/>
    <w:rsid w:val="00646A11"/>
    <w:rsid w:val="00650210"/>
    <w:rsid w:val="00650473"/>
    <w:rsid w:val="00651141"/>
    <w:rsid w:val="00660836"/>
    <w:rsid w:val="006609C2"/>
    <w:rsid w:val="0066281E"/>
    <w:rsid w:val="00662B75"/>
    <w:rsid w:val="006637EA"/>
    <w:rsid w:val="00672434"/>
    <w:rsid w:val="00673613"/>
    <w:rsid w:val="006744F1"/>
    <w:rsid w:val="0067612B"/>
    <w:rsid w:val="0067699B"/>
    <w:rsid w:val="0068121E"/>
    <w:rsid w:val="00683E96"/>
    <w:rsid w:val="00683F12"/>
    <w:rsid w:val="00684DF9"/>
    <w:rsid w:val="00687624"/>
    <w:rsid w:val="00693CCC"/>
    <w:rsid w:val="006A2ECA"/>
    <w:rsid w:val="006B0A07"/>
    <w:rsid w:val="006B0B49"/>
    <w:rsid w:val="006B0EF6"/>
    <w:rsid w:val="006B2E7E"/>
    <w:rsid w:val="006B3826"/>
    <w:rsid w:val="006B7CA1"/>
    <w:rsid w:val="006C223E"/>
    <w:rsid w:val="006C7302"/>
    <w:rsid w:val="006C75B6"/>
    <w:rsid w:val="006D0915"/>
    <w:rsid w:val="006D178A"/>
    <w:rsid w:val="006D19F0"/>
    <w:rsid w:val="006D3052"/>
    <w:rsid w:val="006D5550"/>
    <w:rsid w:val="006D6BFE"/>
    <w:rsid w:val="006E198D"/>
    <w:rsid w:val="006E2E59"/>
    <w:rsid w:val="006E2F49"/>
    <w:rsid w:val="006E7736"/>
    <w:rsid w:val="006F1CC7"/>
    <w:rsid w:val="006F20C5"/>
    <w:rsid w:val="006F27C5"/>
    <w:rsid w:val="006F4BD6"/>
    <w:rsid w:val="006F4F69"/>
    <w:rsid w:val="006F726D"/>
    <w:rsid w:val="006F7573"/>
    <w:rsid w:val="00701D28"/>
    <w:rsid w:val="007026FA"/>
    <w:rsid w:val="00704F64"/>
    <w:rsid w:val="0071116E"/>
    <w:rsid w:val="0071438D"/>
    <w:rsid w:val="00714BAB"/>
    <w:rsid w:val="00716389"/>
    <w:rsid w:val="00716410"/>
    <w:rsid w:val="00717527"/>
    <w:rsid w:val="00717766"/>
    <w:rsid w:val="00721675"/>
    <w:rsid w:val="00721FE7"/>
    <w:rsid w:val="00722F8B"/>
    <w:rsid w:val="0072596B"/>
    <w:rsid w:val="0073149E"/>
    <w:rsid w:val="00736A95"/>
    <w:rsid w:val="00737F8F"/>
    <w:rsid w:val="0074379F"/>
    <w:rsid w:val="007444CD"/>
    <w:rsid w:val="00744662"/>
    <w:rsid w:val="00754765"/>
    <w:rsid w:val="00754B89"/>
    <w:rsid w:val="007559AD"/>
    <w:rsid w:val="00756C48"/>
    <w:rsid w:val="007577AB"/>
    <w:rsid w:val="007612C1"/>
    <w:rsid w:val="00761BF1"/>
    <w:rsid w:val="00765680"/>
    <w:rsid w:val="00771044"/>
    <w:rsid w:val="007728EB"/>
    <w:rsid w:val="00774934"/>
    <w:rsid w:val="00776166"/>
    <w:rsid w:val="007835AF"/>
    <w:rsid w:val="00783898"/>
    <w:rsid w:val="00783E79"/>
    <w:rsid w:val="00787173"/>
    <w:rsid w:val="00787676"/>
    <w:rsid w:val="00787A43"/>
    <w:rsid w:val="007912F8"/>
    <w:rsid w:val="0079487E"/>
    <w:rsid w:val="00797A9D"/>
    <w:rsid w:val="007A0E86"/>
    <w:rsid w:val="007A0F26"/>
    <w:rsid w:val="007A35E5"/>
    <w:rsid w:val="007A36E3"/>
    <w:rsid w:val="007A3852"/>
    <w:rsid w:val="007A5FBF"/>
    <w:rsid w:val="007A7D4E"/>
    <w:rsid w:val="007B1641"/>
    <w:rsid w:val="007B2E52"/>
    <w:rsid w:val="007B5C7A"/>
    <w:rsid w:val="007C0549"/>
    <w:rsid w:val="007C1015"/>
    <w:rsid w:val="007C1A05"/>
    <w:rsid w:val="007C4140"/>
    <w:rsid w:val="007E0FC1"/>
    <w:rsid w:val="007E59FF"/>
    <w:rsid w:val="007E732D"/>
    <w:rsid w:val="007E7E99"/>
    <w:rsid w:val="007F0418"/>
    <w:rsid w:val="007F0D29"/>
    <w:rsid w:val="007F1D3E"/>
    <w:rsid w:val="007F2AE3"/>
    <w:rsid w:val="007F5FA7"/>
    <w:rsid w:val="007F763A"/>
    <w:rsid w:val="008007EC"/>
    <w:rsid w:val="00800956"/>
    <w:rsid w:val="008015F3"/>
    <w:rsid w:val="00810D30"/>
    <w:rsid w:val="00811AC9"/>
    <w:rsid w:val="00812D11"/>
    <w:rsid w:val="00813860"/>
    <w:rsid w:val="00816EAF"/>
    <w:rsid w:val="008173EC"/>
    <w:rsid w:val="0082188D"/>
    <w:rsid w:val="00825202"/>
    <w:rsid w:val="0082604E"/>
    <w:rsid w:val="0082690D"/>
    <w:rsid w:val="00831843"/>
    <w:rsid w:val="00831EE4"/>
    <w:rsid w:val="00833E65"/>
    <w:rsid w:val="00836D25"/>
    <w:rsid w:val="008418C3"/>
    <w:rsid w:val="00847CC7"/>
    <w:rsid w:val="0085160B"/>
    <w:rsid w:val="0085383A"/>
    <w:rsid w:val="00854E68"/>
    <w:rsid w:val="00857C0B"/>
    <w:rsid w:val="00860CBA"/>
    <w:rsid w:val="00861462"/>
    <w:rsid w:val="00861E34"/>
    <w:rsid w:val="00862611"/>
    <w:rsid w:val="00863268"/>
    <w:rsid w:val="00864681"/>
    <w:rsid w:val="0086696B"/>
    <w:rsid w:val="00867EAF"/>
    <w:rsid w:val="00870310"/>
    <w:rsid w:val="0087222B"/>
    <w:rsid w:val="0087245D"/>
    <w:rsid w:val="008738DC"/>
    <w:rsid w:val="00876794"/>
    <w:rsid w:val="008774E6"/>
    <w:rsid w:val="008805CC"/>
    <w:rsid w:val="00881339"/>
    <w:rsid w:val="00887466"/>
    <w:rsid w:val="00890271"/>
    <w:rsid w:val="00891AD7"/>
    <w:rsid w:val="008928D4"/>
    <w:rsid w:val="00894BC6"/>
    <w:rsid w:val="0089569D"/>
    <w:rsid w:val="008A201C"/>
    <w:rsid w:val="008A340C"/>
    <w:rsid w:val="008A35F7"/>
    <w:rsid w:val="008B4346"/>
    <w:rsid w:val="008B5781"/>
    <w:rsid w:val="008C0234"/>
    <w:rsid w:val="008C1B9E"/>
    <w:rsid w:val="008C40EC"/>
    <w:rsid w:val="008C51BB"/>
    <w:rsid w:val="008C63E5"/>
    <w:rsid w:val="008D034D"/>
    <w:rsid w:val="008D184F"/>
    <w:rsid w:val="008D4FDF"/>
    <w:rsid w:val="008D7CDE"/>
    <w:rsid w:val="008E0034"/>
    <w:rsid w:val="008E0F4C"/>
    <w:rsid w:val="008E20ED"/>
    <w:rsid w:val="008E5238"/>
    <w:rsid w:val="00905C14"/>
    <w:rsid w:val="00907C0E"/>
    <w:rsid w:val="00910C34"/>
    <w:rsid w:val="00910E9D"/>
    <w:rsid w:val="00911088"/>
    <w:rsid w:val="00911986"/>
    <w:rsid w:val="00912698"/>
    <w:rsid w:val="009136AF"/>
    <w:rsid w:val="00921EE5"/>
    <w:rsid w:val="0092338C"/>
    <w:rsid w:val="00923D4D"/>
    <w:rsid w:val="00924973"/>
    <w:rsid w:val="00924F76"/>
    <w:rsid w:val="00925233"/>
    <w:rsid w:val="00926EF6"/>
    <w:rsid w:val="009320A3"/>
    <w:rsid w:val="00933ACA"/>
    <w:rsid w:val="00934B0C"/>
    <w:rsid w:val="0093593A"/>
    <w:rsid w:val="00935948"/>
    <w:rsid w:val="00935E4E"/>
    <w:rsid w:val="00937635"/>
    <w:rsid w:val="00940EC8"/>
    <w:rsid w:val="00944A4A"/>
    <w:rsid w:val="009554FA"/>
    <w:rsid w:val="00956144"/>
    <w:rsid w:val="00956C8C"/>
    <w:rsid w:val="00960751"/>
    <w:rsid w:val="009636BF"/>
    <w:rsid w:val="0096438B"/>
    <w:rsid w:val="009644E7"/>
    <w:rsid w:val="00965F6C"/>
    <w:rsid w:val="00967D3F"/>
    <w:rsid w:val="00972796"/>
    <w:rsid w:val="00974984"/>
    <w:rsid w:val="009752BF"/>
    <w:rsid w:val="00977917"/>
    <w:rsid w:val="00977D7F"/>
    <w:rsid w:val="0098281A"/>
    <w:rsid w:val="009847F9"/>
    <w:rsid w:val="009872AB"/>
    <w:rsid w:val="009915DE"/>
    <w:rsid w:val="00991AE2"/>
    <w:rsid w:val="009934D9"/>
    <w:rsid w:val="00993703"/>
    <w:rsid w:val="009958F7"/>
    <w:rsid w:val="00996847"/>
    <w:rsid w:val="00997ED4"/>
    <w:rsid w:val="009A01B6"/>
    <w:rsid w:val="009A2FDE"/>
    <w:rsid w:val="009A6F5F"/>
    <w:rsid w:val="009A7338"/>
    <w:rsid w:val="009A7DCE"/>
    <w:rsid w:val="009B1B55"/>
    <w:rsid w:val="009B3D40"/>
    <w:rsid w:val="009B504C"/>
    <w:rsid w:val="009B640F"/>
    <w:rsid w:val="009B6D0F"/>
    <w:rsid w:val="009C11FA"/>
    <w:rsid w:val="009C2211"/>
    <w:rsid w:val="009C244D"/>
    <w:rsid w:val="009C36E8"/>
    <w:rsid w:val="009C50DD"/>
    <w:rsid w:val="009C7A74"/>
    <w:rsid w:val="009D13D5"/>
    <w:rsid w:val="009D3C0D"/>
    <w:rsid w:val="009D4909"/>
    <w:rsid w:val="009D77BC"/>
    <w:rsid w:val="009E0ABE"/>
    <w:rsid w:val="009E22A2"/>
    <w:rsid w:val="009E40E6"/>
    <w:rsid w:val="009E4450"/>
    <w:rsid w:val="009F0E5D"/>
    <w:rsid w:val="009F29BE"/>
    <w:rsid w:val="00A026EA"/>
    <w:rsid w:val="00A02AEB"/>
    <w:rsid w:val="00A02B5C"/>
    <w:rsid w:val="00A06BD2"/>
    <w:rsid w:val="00A06C09"/>
    <w:rsid w:val="00A07214"/>
    <w:rsid w:val="00A15626"/>
    <w:rsid w:val="00A16BD8"/>
    <w:rsid w:val="00A1702D"/>
    <w:rsid w:val="00A172EB"/>
    <w:rsid w:val="00A20A7F"/>
    <w:rsid w:val="00A21593"/>
    <w:rsid w:val="00A22284"/>
    <w:rsid w:val="00A31B7B"/>
    <w:rsid w:val="00A33957"/>
    <w:rsid w:val="00A34DC3"/>
    <w:rsid w:val="00A35B37"/>
    <w:rsid w:val="00A40232"/>
    <w:rsid w:val="00A40CBC"/>
    <w:rsid w:val="00A441C1"/>
    <w:rsid w:val="00A44EA6"/>
    <w:rsid w:val="00A457FB"/>
    <w:rsid w:val="00A50AB7"/>
    <w:rsid w:val="00A52374"/>
    <w:rsid w:val="00A54851"/>
    <w:rsid w:val="00A555E4"/>
    <w:rsid w:val="00A630A0"/>
    <w:rsid w:val="00A64711"/>
    <w:rsid w:val="00A647A6"/>
    <w:rsid w:val="00A65978"/>
    <w:rsid w:val="00A67811"/>
    <w:rsid w:val="00A70A4B"/>
    <w:rsid w:val="00A70FD3"/>
    <w:rsid w:val="00A73708"/>
    <w:rsid w:val="00A77A57"/>
    <w:rsid w:val="00A84035"/>
    <w:rsid w:val="00A87EF2"/>
    <w:rsid w:val="00A95985"/>
    <w:rsid w:val="00AA1D5B"/>
    <w:rsid w:val="00AA4C5E"/>
    <w:rsid w:val="00AA500A"/>
    <w:rsid w:val="00AA6BCF"/>
    <w:rsid w:val="00AB128A"/>
    <w:rsid w:val="00AB4AF7"/>
    <w:rsid w:val="00AB4BD8"/>
    <w:rsid w:val="00AB6B66"/>
    <w:rsid w:val="00AC1EA9"/>
    <w:rsid w:val="00AC315C"/>
    <w:rsid w:val="00AC3A1A"/>
    <w:rsid w:val="00AC41E7"/>
    <w:rsid w:val="00AC50B2"/>
    <w:rsid w:val="00AC5713"/>
    <w:rsid w:val="00AD4134"/>
    <w:rsid w:val="00AD4282"/>
    <w:rsid w:val="00AD464E"/>
    <w:rsid w:val="00AD5593"/>
    <w:rsid w:val="00AE0A7F"/>
    <w:rsid w:val="00AE1970"/>
    <w:rsid w:val="00AE25FB"/>
    <w:rsid w:val="00AE69C7"/>
    <w:rsid w:val="00AF0C10"/>
    <w:rsid w:val="00AF2B72"/>
    <w:rsid w:val="00B01A65"/>
    <w:rsid w:val="00B027EE"/>
    <w:rsid w:val="00B11D5D"/>
    <w:rsid w:val="00B12897"/>
    <w:rsid w:val="00B14BCA"/>
    <w:rsid w:val="00B206B1"/>
    <w:rsid w:val="00B2319C"/>
    <w:rsid w:val="00B2381B"/>
    <w:rsid w:val="00B24221"/>
    <w:rsid w:val="00B24312"/>
    <w:rsid w:val="00B24BBD"/>
    <w:rsid w:val="00B25F59"/>
    <w:rsid w:val="00B26821"/>
    <w:rsid w:val="00B30E3C"/>
    <w:rsid w:val="00B311A8"/>
    <w:rsid w:val="00B31D09"/>
    <w:rsid w:val="00B32A6F"/>
    <w:rsid w:val="00B3419C"/>
    <w:rsid w:val="00B34CB8"/>
    <w:rsid w:val="00B51927"/>
    <w:rsid w:val="00B531DE"/>
    <w:rsid w:val="00B57F73"/>
    <w:rsid w:val="00B6071A"/>
    <w:rsid w:val="00B61413"/>
    <w:rsid w:val="00B6180B"/>
    <w:rsid w:val="00B652F5"/>
    <w:rsid w:val="00B65936"/>
    <w:rsid w:val="00B66933"/>
    <w:rsid w:val="00B6742E"/>
    <w:rsid w:val="00B72054"/>
    <w:rsid w:val="00B72C64"/>
    <w:rsid w:val="00B75901"/>
    <w:rsid w:val="00B87D73"/>
    <w:rsid w:val="00B902FA"/>
    <w:rsid w:val="00B92181"/>
    <w:rsid w:val="00B930F2"/>
    <w:rsid w:val="00B93989"/>
    <w:rsid w:val="00B9764C"/>
    <w:rsid w:val="00BA0049"/>
    <w:rsid w:val="00BA1D53"/>
    <w:rsid w:val="00BA2B01"/>
    <w:rsid w:val="00BB0296"/>
    <w:rsid w:val="00BB3D96"/>
    <w:rsid w:val="00BB5252"/>
    <w:rsid w:val="00BB651D"/>
    <w:rsid w:val="00BB7E3E"/>
    <w:rsid w:val="00BC0E0D"/>
    <w:rsid w:val="00BC167E"/>
    <w:rsid w:val="00BC30D3"/>
    <w:rsid w:val="00BC5373"/>
    <w:rsid w:val="00BD24A9"/>
    <w:rsid w:val="00BD2A60"/>
    <w:rsid w:val="00BD6179"/>
    <w:rsid w:val="00BE0747"/>
    <w:rsid w:val="00BE6706"/>
    <w:rsid w:val="00BF0292"/>
    <w:rsid w:val="00BF2436"/>
    <w:rsid w:val="00BF3522"/>
    <w:rsid w:val="00BF3912"/>
    <w:rsid w:val="00BF6E5A"/>
    <w:rsid w:val="00C00A12"/>
    <w:rsid w:val="00C05787"/>
    <w:rsid w:val="00C05C83"/>
    <w:rsid w:val="00C1125F"/>
    <w:rsid w:val="00C11475"/>
    <w:rsid w:val="00C11B0B"/>
    <w:rsid w:val="00C12604"/>
    <w:rsid w:val="00C12F93"/>
    <w:rsid w:val="00C14C0B"/>
    <w:rsid w:val="00C20087"/>
    <w:rsid w:val="00C211C8"/>
    <w:rsid w:val="00C23D7E"/>
    <w:rsid w:val="00C2460F"/>
    <w:rsid w:val="00C316A6"/>
    <w:rsid w:val="00C32255"/>
    <w:rsid w:val="00C32EF9"/>
    <w:rsid w:val="00C34214"/>
    <w:rsid w:val="00C35406"/>
    <w:rsid w:val="00C376C3"/>
    <w:rsid w:val="00C50FFD"/>
    <w:rsid w:val="00C5102D"/>
    <w:rsid w:val="00C52631"/>
    <w:rsid w:val="00C53699"/>
    <w:rsid w:val="00C53AE1"/>
    <w:rsid w:val="00C5442D"/>
    <w:rsid w:val="00C55246"/>
    <w:rsid w:val="00C60E7E"/>
    <w:rsid w:val="00C633E8"/>
    <w:rsid w:val="00C66240"/>
    <w:rsid w:val="00C70254"/>
    <w:rsid w:val="00C71F2F"/>
    <w:rsid w:val="00C72DF4"/>
    <w:rsid w:val="00C741F2"/>
    <w:rsid w:val="00C80A33"/>
    <w:rsid w:val="00C836B9"/>
    <w:rsid w:val="00C84B6E"/>
    <w:rsid w:val="00C85382"/>
    <w:rsid w:val="00C8659F"/>
    <w:rsid w:val="00C90412"/>
    <w:rsid w:val="00C94AE8"/>
    <w:rsid w:val="00CA1FC5"/>
    <w:rsid w:val="00CA77EB"/>
    <w:rsid w:val="00CA79CE"/>
    <w:rsid w:val="00CB01D4"/>
    <w:rsid w:val="00CB2319"/>
    <w:rsid w:val="00CB2BA0"/>
    <w:rsid w:val="00CB642D"/>
    <w:rsid w:val="00CC00AD"/>
    <w:rsid w:val="00CC2E84"/>
    <w:rsid w:val="00CC2F12"/>
    <w:rsid w:val="00CC446C"/>
    <w:rsid w:val="00CC5F4D"/>
    <w:rsid w:val="00CC76A9"/>
    <w:rsid w:val="00CD1CBB"/>
    <w:rsid w:val="00CD1F2F"/>
    <w:rsid w:val="00CD2428"/>
    <w:rsid w:val="00CD6380"/>
    <w:rsid w:val="00CE2FBE"/>
    <w:rsid w:val="00CE2FDC"/>
    <w:rsid w:val="00CE4983"/>
    <w:rsid w:val="00CE5688"/>
    <w:rsid w:val="00D01B4C"/>
    <w:rsid w:val="00D03D89"/>
    <w:rsid w:val="00D06E1D"/>
    <w:rsid w:val="00D10E15"/>
    <w:rsid w:val="00D12D9D"/>
    <w:rsid w:val="00D1490E"/>
    <w:rsid w:val="00D23979"/>
    <w:rsid w:val="00D23986"/>
    <w:rsid w:val="00D329C3"/>
    <w:rsid w:val="00D35EA8"/>
    <w:rsid w:val="00D36DB7"/>
    <w:rsid w:val="00D379AE"/>
    <w:rsid w:val="00D37EBA"/>
    <w:rsid w:val="00D40C28"/>
    <w:rsid w:val="00D422E3"/>
    <w:rsid w:val="00D43111"/>
    <w:rsid w:val="00D45DCD"/>
    <w:rsid w:val="00D479AC"/>
    <w:rsid w:val="00D54475"/>
    <w:rsid w:val="00D547ED"/>
    <w:rsid w:val="00D553B5"/>
    <w:rsid w:val="00D567E6"/>
    <w:rsid w:val="00D60F13"/>
    <w:rsid w:val="00D616E3"/>
    <w:rsid w:val="00D62D4A"/>
    <w:rsid w:val="00D64F34"/>
    <w:rsid w:val="00D66D85"/>
    <w:rsid w:val="00D71CEF"/>
    <w:rsid w:val="00D720D6"/>
    <w:rsid w:val="00D77F2B"/>
    <w:rsid w:val="00D80954"/>
    <w:rsid w:val="00D81F98"/>
    <w:rsid w:val="00D84EFF"/>
    <w:rsid w:val="00D851AB"/>
    <w:rsid w:val="00D859BB"/>
    <w:rsid w:val="00D945B2"/>
    <w:rsid w:val="00DA0130"/>
    <w:rsid w:val="00DA01EA"/>
    <w:rsid w:val="00DA6AEC"/>
    <w:rsid w:val="00DA77A7"/>
    <w:rsid w:val="00DA7C08"/>
    <w:rsid w:val="00DB5C0F"/>
    <w:rsid w:val="00DB6D1A"/>
    <w:rsid w:val="00DB7771"/>
    <w:rsid w:val="00DB7D33"/>
    <w:rsid w:val="00DC1732"/>
    <w:rsid w:val="00DC21AF"/>
    <w:rsid w:val="00DC2D77"/>
    <w:rsid w:val="00DC4C93"/>
    <w:rsid w:val="00DC502E"/>
    <w:rsid w:val="00DC5927"/>
    <w:rsid w:val="00DD46EF"/>
    <w:rsid w:val="00DD4E9C"/>
    <w:rsid w:val="00DD70D5"/>
    <w:rsid w:val="00DE05A0"/>
    <w:rsid w:val="00DE0700"/>
    <w:rsid w:val="00DE45AD"/>
    <w:rsid w:val="00DE51E3"/>
    <w:rsid w:val="00DE7D1A"/>
    <w:rsid w:val="00DF15E5"/>
    <w:rsid w:val="00DF294E"/>
    <w:rsid w:val="00DF2A31"/>
    <w:rsid w:val="00DF7AB6"/>
    <w:rsid w:val="00E01DB8"/>
    <w:rsid w:val="00E02B60"/>
    <w:rsid w:val="00E03CC7"/>
    <w:rsid w:val="00E0646B"/>
    <w:rsid w:val="00E106B5"/>
    <w:rsid w:val="00E110B7"/>
    <w:rsid w:val="00E12C88"/>
    <w:rsid w:val="00E131F5"/>
    <w:rsid w:val="00E21115"/>
    <w:rsid w:val="00E22231"/>
    <w:rsid w:val="00E246D3"/>
    <w:rsid w:val="00E27CA0"/>
    <w:rsid w:val="00E32BAC"/>
    <w:rsid w:val="00E349DF"/>
    <w:rsid w:val="00E35E56"/>
    <w:rsid w:val="00E40568"/>
    <w:rsid w:val="00E465C1"/>
    <w:rsid w:val="00E474CB"/>
    <w:rsid w:val="00E52838"/>
    <w:rsid w:val="00E56246"/>
    <w:rsid w:val="00E56A12"/>
    <w:rsid w:val="00E60801"/>
    <w:rsid w:val="00E61DA6"/>
    <w:rsid w:val="00E6237E"/>
    <w:rsid w:val="00E63C59"/>
    <w:rsid w:val="00E6518F"/>
    <w:rsid w:val="00E65EDD"/>
    <w:rsid w:val="00E668E4"/>
    <w:rsid w:val="00E7057B"/>
    <w:rsid w:val="00E73957"/>
    <w:rsid w:val="00E74E7E"/>
    <w:rsid w:val="00E760B7"/>
    <w:rsid w:val="00E8117C"/>
    <w:rsid w:val="00E83A96"/>
    <w:rsid w:val="00E8597C"/>
    <w:rsid w:val="00E905B5"/>
    <w:rsid w:val="00E9213E"/>
    <w:rsid w:val="00E921D3"/>
    <w:rsid w:val="00E92729"/>
    <w:rsid w:val="00E933E4"/>
    <w:rsid w:val="00E95857"/>
    <w:rsid w:val="00E95E18"/>
    <w:rsid w:val="00E97A1B"/>
    <w:rsid w:val="00E97C87"/>
    <w:rsid w:val="00EA0ACA"/>
    <w:rsid w:val="00EA3CA3"/>
    <w:rsid w:val="00EB009A"/>
    <w:rsid w:val="00EB0132"/>
    <w:rsid w:val="00EB327F"/>
    <w:rsid w:val="00EB3725"/>
    <w:rsid w:val="00EB3D3C"/>
    <w:rsid w:val="00EB4939"/>
    <w:rsid w:val="00EB4FC6"/>
    <w:rsid w:val="00EC43A0"/>
    <w:rsid w:val="00EC50C5"/>
    <w:rsid w:val="00EC5567"/>
    <w:rsid w:val="00EC6624"/>
    <w:rsid w:val="00ED1A20"/>
    <w:rsid w:val="00ED5060"/>
    <w:rsid w:val="00ED6AC9"/>
    <w:rsid w:val="00ED7265"/>
    <w:rsid w:val="00ED7764"/>
    <w:rsid w:val="00EE152F"/>
    <w:rsid w:val="00EE7D15"/>
    <w:rsid w:val="00EF0CD9"/>
    <w:rsid w:val="00EF16AF"/>
    <w:rsid w:val="00EF1FC4"/>
    <w:rsid w:val="00EF2074"/>
    <w:rsid w:val="00EF4748"/>
    <w:rsid w:val="00EF5BA2"/>
    <w:rsid w:val="00EF6222"/>
    <w:rsid w:val="00F014E4"/>
    <w:rsid w:val="00F02F23"/>
    <w:rsid w:val="00F030DB"/>
    <w:rsid w:val="00F05D0F"/>
    <w:rsid w:val="00F06EBC"/>
    <w:rsid w:val="00F10DEC"/>
    <w:rsid w:val="00F1148F"/>
    <w:rsid w:val="00F12579"/>
    <w:rsid w:val="00F175B0"/>
    <w:rsid w:val="00F2281F"/>
    <w:rsid w:val="00F22BCF"/>
    <w:rsid w:val="00F231BE"/>
    <w:rsid w:val="00F23667"/>
    <w:rsid w:val="00F24AEB"/>
    <w:rsid w:val="00F26D0C"/>
    <w:rsid w:val="00F30EA5"/>
    <w:rsid w:val="00F338B3"/>
    <w:rsid w:val="00F372E9"/>
    <w:rsid w:val="00F37747"/>
    <w:rsid w:val="00F406B4"/>
    <w:rsid w:val="00F4516C"/>
    <w:rsid w:val="00F4567D"/>
    <w:rsid w:val="00F50F14"/>
    <w:rsid w:val="00F5162D"/>
    <w:rsid w:val="00F538D0"/>
    <w:rsid w:val="00F54B28"/>
    <w:rsid w:val="00F62E1A"/>
    <w:rsid w:val="00F64A4F"/>
    <w:rsid w:val="00F64F9D"/>
    <w:rsid w:val="00F66544"/>
    <w:rsid w:val="00F7057D"/>
    <w:rsid w:val="00F70772"/>
    <w:rsid w:val="00F71BBB"/>
    <w:rsid w:val="00F75788"/>
    <w:rsid w:val="00F7723C"/>
    <w:rsid w:val="00F82ADB"/>
    <w:rsid w:val="00F832F2"/>
    <w:rsid w:val="00F85089"/>
    <w:rsid w:val="00F909C4"/>
    <w:rsid w:val="00F9178F"/>
    <w:rsid w:val="00F95568"/>
    <w:rsid w:val="00F96AD7"/>
    <w:rsid w:val="00FA04F1"/>
    <w:rsid w:val="00FB1DA2"/>
    <w:rsid w:val="00FB22E9"/>
    <w:rsid w:val="00FB29C8"/>
    <w:rsid w:val="00FB37BE"/>
    <w:rsid w:val="00FB501F"/>
    <w:rsid w:val="00FB73C8"/>
    <w:rsid w:val="00FC04BC"/>
    <w:rsid w:val="00FC1373"/>
    <w:rsid w:val="00FC4AD4"/>
    <w:rsid w:val="00FC5694"/>
    <w:rsid w:val="00FC734B"/>
    <w:rsid w:val="00FD158E"/>
    <w:rsid w:val="00FD45CC"/>
    <w:rsid w:val="00FD56BD"/>
    <w:rsid w:val="00FD7247"/>
    <w:rsid w:val="00FE00C7"/>
    <w:rsid w:val="00FE19F2"/>
    <w:rsid w:val="00FE38D0"/>
    <w:rsid w:val="00FE7224"/>
    <w:rsid w:val="00FE7D15"/>
    <w:rsid w:val="00FF2AC9"/>
    <w:rsid w:val="00FF52D8"/>
    <w:rsid w:val="00FF6055"/>
    <w:rsid w:val="010A06C2"/>
    <w:rsid w:val="01323CE1"/>
    <w:rsid w:val="01913DF5"/>
    <w:rsid w:val="01FB2325"/>
    <w:rsid w:val="02111B48"/>
    <w:rsid w:val="02720839"/>
    <w:rsid w:val="028820E8"/>
    <w:rsid w:val="029A7359"/>
    <w:rsid w:val="02A31248"/>
    <w:rsid w:val="02AE119E"/>
    <w:rsid w:val="02CE3AEE"/>
    <w:rsid w:val="02E421D0"/>
    <w:rsid w:val="02EC4595"/>
    <w:rsid w:val="02F72AEC"/>
    <w:rsid w:val="0333397C"/>
    <w:rsid w:val="0388408C"/>
    <w:rsid w:val="038D038B"/>
    <w:rsid w:val="038E44DF"/>
    <w:rsid w:val="039F30E5"/>
    <w:rsid w:val="03AF6D10"/>
    <w:rsid w:val="03C70711"/>
    <w:rsid w:val="03D66BA6"/>
    <w:rsid w:val="03E80198"/>
    <w:rsid w:val="041616A2"/>
    <w:rsid w:val="042207A6"/>
    <w:rsid w:val="04D213A5"/>
    <w:rsid w:val="04F03C97"/>
    <w:rsid w:val="050414F1"/>
    <w:rsid w:val="05306615"/>
    <w:rsid w:val="054B711F"/>
    <w:rsid w:val="055E32F7"/>
    <w:rsid w:val="056A3A4A"/>
    <w:rsid w:val="056A6230"/>
    <w:rsid w:val="05950818"/>
    <w:rsid w:val="0596483F"/>
    <w:rsid w:val="05BB24F7"/>
    <w:rsid w:val="05F23A3F"/>
    <w:rsid w:val="06174FC9"/>
    <w:rsid w:val="061D286A"/>
    <w:rsid w:val="063130C9"/>
    <w:rsid w:val="06847D38"/>
    <w:rsid w:val="06A80874"/>
    <w:rsid w:val="06C453DB"/>
    <w:rsid w:val="079528D4"/>
    <w:rsid w:val="085A706A"/>
    <w:rsid w:val="089E3A0A"/>
    <w:rsid w:val="08AB6853"/>
    <w:rsid w:val="08BB45BC"/>
    <w:rsid w:val="08F67E71"/>
    <w:rsid w:val="093904B4"/>
    <w:rsid w:val="093E5041"/>
    <w:rsid w:val="0946032A"/>
    <w:rsid w:val="099A5DD9"/>
    <w:rsid w:val="09BE24C2"/>
    <w:rsid w:val="09DD68F3"/>
    <w:rsid w:val="09F707CE"/>
    <w:rsid w:val="0A2A768E"/>
    <w:rsid w:val="0A484412"/>
    <w:rsid w:val="0A5927C6"/>
    <w:rsid w:val="0A7B014E"/>
    <w:rsid w:val="0A855CC4"/>
    <w:rsid w:val="0A85697B"/>
    <w:rsid w:val="0AD32091"/>
    <w:rsid w:val="0ADA51CD"/>
    <w:rsid w:val="0AF94898"/>
    <w:rsid w:val="0AFB3396"/>
    <w:rsid w:val="0B0755F0"/>
    <w:rsid w:val="0B293767"/>
    <w:rsid w:val="0B766F39"/>
    <w:rsid w:val="0BC60AEF"/>
    <w:rsid w:val="0BD87233"/>
    <w:rsid w:val="0C57284E"/>
    <w:rsid w:val="0C656D19"/>
    <w:rsid w:val="0C682533"/>
    <w:rsid w:val="0C9522DF"/>
    <w:rsid w:val="0CC94EBC"/>
    <w:rsid w:val="0D0B5B12"/>
    <w:rsid w:val="0D3037CB"/>
    <w:rsid w:val="0D407F3C"/>
    <w:rsid w:val="0D4508F8"/>
    <w:rsid w:val="0D5975E8"/>
    <w:rsid w:val="0DFF319D"/>
    <w:rsid w:val="0E0A48AD"/>
    <w:rsid w:val="0E222820"/>
    <w:rsid w:val="0E356BBF"/>
    <w:rsid w:val="0E5C4D5C"/>
    <w:rsid w:val="0E6F7988"/>
    <w:rsid w:val="0E8A0CB9"/>
    <w:rsid w:val="0EDE1004"/>
    <w:rsid w:val="0F0727B0"/>
    <w:rsid w:val="0F1369A0"/>
    <w:rsid w:val="0F490538"/>
    <w:rsid w:val="0F5337A0"/>
    <w:rsid w:val="0F803E6A"/>
    <w:rsid w:val="0FD22917"/>
    <w:rsid w:val="102A3DF0"/>
    <w:rsid w:val="104429D3"/>
    <w:rsid w:val="106D1FAD"/>
    <w:rsid w:val="10D72A82"/>
    <w:rsid w:val="116518B4"/>
    <w:rsid w:val="11695D43"/>
    <w:rsid w:val="11E132E5"/>
    <w:rsid w:val="11F2443A"/>
    <w:rsid w:val="12042849"/>
    <w:rsid w:val="121F2ECD"/>
    <w:rsid w:val="12301B77"/>
    <w:rsid w:val="12BE0C9F"/>
    <w:rsid w:val="13196AAF"/>
    <w:rsid w:val="1327134A"/>
    <w:rsid w:val="1351449B"/>
    <w:rsid w:val="142E7599"/>
    <w:rsid w:val="143376FC"/>
    <w:rsid w:val="147A532B"/>
    <w:rsid w:val="14926B19"/>
    <w:rsid w:val="1494463F"/>
    <w:rsid w:val="14E135FC"/>
    <w:rsid w:val="14F90946"/>
    <w:rsid w:val="15113EE2"/>
    <w:rsid w:val="155D6423"/>
    <w:rsid w:val="156A56E4"/>
    <w:rsid w:val="15CF16A7"/>
    <w:rsid w:val="15F1786F"/>
    <w:rsid w:val="16207BE8"/>
    <w:rsid w:val="16232E2A"/>
    <w:rsid w:val="164E7FAF"/>
    <w:rsid w:val="168D4FBD"/>
    <w:rsid w:val="16907088"/>
    <w:rsid w:val="16AA639C"/>
    <w:rsid w:val="16D12101"/>
    <w:rsid w:val="16D71C8D"/>
    <w:rsid w:val="16D8332C"/>
    <w:rsid w:val="16F643D6"/>
    <w:rsid w:val="17AB519B"/>
    <w:rsid w:val="183D4020"/>
    <w:rsid w:val="186164A1"/>
    <w:rsid w:val="18822A00"/>
    <w:rsid w:val="18F179C4"/>
    <w:rsid w:val="190F0738"/>
    <w:rsid w:val="190F698A"/>
    <w:rsid w:val="19832ED4"/>
    <w:rsid w:val="198C7FDB"/>
    <w:rsid w:val="19910B5A"/>
    <w:rsid w:val="1997790E"/>
    <w:rsid w:val="199D433D"/>
    <w:rsid w:val="19A31CEF"/>
    <w:rsid w:val="19C51899"/>
    <w:rsid w:val="1A045DC3"/>
    <w:rsid w:val="1A24109C"/>
    <w:rsid w:val="1AB14B7C"/>
    <w:rsid w:val="1AFA6AA4"/>
    <w:rsid w:val="1B035A0F"/>
    <w:rsid w:val="1B1A19F1"/>
    <w:rsid w:val="1B4722FF"/>
    <w:rsid w:val="1B6C3693"/>
    <w:rsid w:val="1B79633D"/>
    <w:rsid w:val="1B9E7108"/>
    <w:rsid w:val="1BA16335"/>
    <w:rsid w:val="1C085913"/>
    <w:rsid w:val="1C4E2245"/>
    <w:rsid w:val="1C5F19D6"/>
    <w:rsid w:val="1C646FED"/>
    <w:rsid w:val="1C7643DA"/>
    <w:rsid w:val="1CAB69CA"/>
    <w:rsid w:val="1CC47A8B"/>
    <w:rsid w:val="1CD6156D"/>
    <w:rsid w:val="1D1A414E"/>
    <w:rsid w:val="1D37483E"/>
    <w:rsid w:val="1D4726CE"/>
    <w:rsid w:val="1DCB6BF8"/>
    <w:rsid w:val="1DD71A40"/>
    <w:rsid w:val="1DF12B02"/>
    <w:rsid w:val="1E0068A1"/>
    <w:rsid w:val="1E7D4396"/>
    <w:rsid w:val="1EA76F2E"/>
    <w:rsid w:val="1EAD6AC7"/>
    <w:rsid w:val="1EBA40DD"/>
    <w:rsid w:val="1F071EB1"/>
    <w:rsid w:val="1F0D396C"/>
    <w:rsid w:val="1F394C82"/>
    <w:rsid w:val="1F42113B"/>
    <w:rsid w:val="1F464788"/>
    <w:rsid w:val="1F7532BF"/>
    <w:rsid w:val="1FF62D6C"/>
    <w:rsid w:val="200A09E3"/>
    <w:rsid w:val="20101CF0"/>
    <w:rsid w:val="20135F1B"/>
    <w:rsid w:val="201B5C14"/>
    <w:rsid w:val="203D63DC"/>
    <w:rsid w:val="20415D1D"/>
    <w:rsid w:val="2093568E"/>
    <w:rsid w:val="209A4459"/>
    <w:rsid w:val="20DD2ECA"/>
    <w:rsid w:val="20E9477C"/>
    <w:rsid w:val="21200896"/>
    <w:rsid w:val="213351E0"/>
    <w:rsid w:val="21760A97"/>
    <w:rsid w:val="217C0A1F"/>
    <w:rsid w:val="219263AA"/>
    <w:rsid w:val="21952780"/>
    <w:rsid w:val="21AE532C"/>
    <w:rsid w:val="21D342CD"/>
    <w:rsid w:val="21EB6FAF"/>
    <w:rsid w:val="22007F90"/>
    <w:rsid w:val="224507D6"/>
    <w:rsid w:val="22576CAC"/>
    <w:rsid w:val="225E44DE"/>
    <w:rsid w:val="229E3A58"/>
    <w:rsid w:val="22C205C9"/>
    <w:rsid w:val="22DA1DB7"/>
    <w:rsid w:val="23536610"/>
    <w:rsid w:val="236D2931"/>
    <w:rsid w:val="23DC56BB"/>
    <w:rsid w:val="23F27D7B"/>
    <w:rsid w:val="242D6EC4"/>
    <w:rsid w:val="24800F81"/>
    <w:rsid w:val="248D27F1"/>
    <w:rsid w:val="24AE43E7"/>
    <w:rsid w:val="24D12D46"/>
    <w:rsid w:val="24D45EF2"/>
    <w:rsid w:val="24DD5B8E"/>
    <w:rsid w:val="25220111"/>
    <w:rsid w:val="254259F1"/>
    <w:rsid w:val="25714529"/>
    <w:rsid w:val="257302A1"/>
    <w:rsid w:val="2586552D"/>
    <w:rsid w:val="25B763DF"/>
    <w:rsid w:val="25CF7214"/>
    <w:rsid w:val="25FD7B6A"/>
    <w:rsid w:val="26162357"/>
    <w:rsid w:val="266A0D19"/>
    <w:rsid w:val="2694227D"/>
    <w:rsid w:val="26962499"/>
    <w:rsid w:val="26A60202"/>
    <w:rsid w:val="26AF4508"/>
    <w:rsid w:val="26C50688"/>
    <w:rsid w:val="26DF623D"/>
    <w:rsid w:val="26E15B99"/>
    <w:rsid w:val="271E5CE2"/>
    <w:rsid w:val="27453244"/>
    <w:rsid w:val="275B723E"/>
    <w:rsid w:val="27897907"/>
    <w:rsid w:val="279C55DC"/>
    <w:rsid w:val="27C070A1"/>
    <w:rsid w:val="27CB7F20"/>
    <w:rsid w:val="281A0EA7"/>
    <w:rsid w:val="288E4399"/>
    <w:rsid w:val="28AF15F0"/>
    <w:rsid w:val="291335A0"/>
    <w:rsid w:val="291853E7"/>
    <w:rsid w:val="294A756A"/>
    <w:rsid w:val="29734BB0"/>
    <w:rsid w:val="298A07C9"/>
    <w:rsid w:val="29C63C11"/>
    <w:rsid w:val="29DB4666"/>
    <w:rsid w:val="2A3E70CF"/>
    <w:rsid w:val="2A503CE6"/>
    <w:rsid w:val="2A6578AF"/>
    <w:rsid w:val="2A9E28FA"/>
    <w:rsid w:val="2AF31299"/>
    <w:rsid w:val="2AF3352F"/>
    <w:rsid w:val="2B2A01B3"/>
    <w:rsid w:val="2B505D97"/>
    <w:rsid w:val="2B870602"/>
    <w:rsid w:val="2BA666A3"/>
    <w:rsid w:val="2BBA1A67"/>
    <w:rsid w:val="2BC2788C"/>
    <w:rsid w:val="2BD66E93"/>
    <w:rsid w:val="2BF64251"/>
    <w:rsid w:val="2BFB1B9B"/>
    <w:rsid w:val="2C4A16A1"/>
    <w:rsid w:val="2C7C5C8D"/>
    <w:rsid w:val="2D3B0E3B"/>
    <w:rsid w:val="2D6B7AAF"/>
    <w:rsid w:val="2D713318"/>
    <w:rsid w:val="2D850B71"/>
    <w:rsid w:val="2DCE4309"/>
    <w:rsid w:val="2E187C37"/>
    <w:rsid w:val="2E1B14D5"/>
    <w:rsid w:val="2E207253"/>
    <w:rsid w:val="2E7605ED"/>
    <w:rsid w:val="2EB45BB2"/>
    <w:rsid w:val="2EF0181A"/>
    <w:rsid w:val="2F1E127D"/>
    <w:rsid w:val="2F5D192C"/>
    <w:rsid w:val="2F754B98"/>
    <w:rsid w:val="2F9037FD"/>
    <w:rsid w:val="2FA8676C"/>
    <w:rsid w:val="2FAB7D1C"/>
    <w:rsid w:val="2FB766AA"/>
    <w:rsid w:val="2FED6A67"/>
    <w:rsid w:val="3004689B"/>
    <w:rsid w:val="30121290"/>
    <w:rsid w:val="302D729E"/>
    <w:rsid w:val="30473135"/>
    <w:rsid w:val="3053184D"/>
    <w:rsid w:val="30B314B2"/>
    <w:rsid w:val="30BA6D84"/>
    <w:rsid w:val="313A7EC4"/>
    <w:rsid w:val="315076E8"/>
    <w:rsid w:val="31562CFE"/>
    <w:rsid w:val="318A1042"/>
    <w:rsid w:val="318F0210"/>
    <w:rsid w:val="31AA06AE"/>
    <w:rsid w:val="31BC4D7D"/>
    <w:rsid w:val="31E416BD"/>
    <w:rsid w:val="31EC2C18"/>
    <w:rsid w:val="31F60C40"/>
    <w:rsid w:val="32146967"/>
    <w:rsid w:val="323E76CC"/>
    <w:rsid w:val="32862139"/>
    <w:rsid w:val="328B4EF3"/>
    <w:rsid w:val="329655CE"/>
    <w:rsid w:val="32B85545"/>
    <w:rsid w:val="334D2131"/>
    <w:rsid w:val="34034EE6"/>
    <w:rsid w:val="34A04862"/>
    <w:rsid w:val="34A15809"/>
    <w:rsid w:val="34CB5253"/>
    <w:rsid w:val="34CF6B76"/>
    <w:rsid w:val="355035A2"/>
    <w:rsid w:val="35634DB5"/>
    <w:rsid w:val="35ED19A9"/>
    <w:rsid w:val="35EF4C65"/>
    <w:rsid w:val="36581519"/>
    <w:rsid w:val="36897924"/>
    <w:rsid w:val="3697304E"/>
    <w:rsid w:val="36A0015F"/>
    <w:rsid w:val="36E9553C"/>
    <w:rsid w:val="37001D49"/>
    <w:rsid w:val="370E1BD7"/>
    <w:rsid w:val="373068D7"/>
    <w:rsid w:val="37307DA0"/>
    <w:rsid w:val="375D490D"/>
    <w:rsid w:val="379C5435"/>
    <w:rsid w:val="37C8447C"/>
    <w:rsid w:val="37DF20DE"/>
    <w:rsid w:val="37F52D97"/>
    <w:rsid w:val="381C522A"/>
    <w:rsid w:val="38206066"/>
    <w:rsid w:val="385C2357"/>
    <w:rsid w:val="38AF1198"/>
    <w:rsid w:val="38BB18EB"/>
    <w:rsid w:val="38E066E2"/>
    <w:rsid w:val="38FE3794"/>
    <w:rsid w:val="392B4CC2"/>
    <w:rsid w:val="392B61FC"/>
    <w:rsid w:val="39317DFF"/>
    <w:rsid w:val="39534219"/>
    <w:rsid w:val="3A4816CE"/>
    <w:rsid w:val="3A6B43E2"/>
    <w:rsid w:val="3A742699"/>
    <w:rsid w:val="3A9F30F1"/>
    <w:rsid w:val="3AA53E6D"/>
    <w:rsid w:val="3B53698D"/>
    <w:rsid w:val="3B8E778B"/>
    <w:rsid w:val="3BEC1ABD"/>
    <w:rsid w:val="3C0626E5"/>
    <w:rsid w:val="3C477FA0"/>
    <w:rsid w:val="3CEC4769"/>
    <w:rsid w:val="3CED359B"/>
    <w:rsid w:val="3CFA56B4"/>
    <w:rsid w:val="3D393726"/>
    <w:rsid w:val="3D3A1978"/>
    <w:rsid w:val="3D662FF5"/>
    <w:rsid w:val="3D766728"/>
    <w:rsid w:val="3D793B23"/>
    <w:rsid w:val="3DA74B34"/>
    <w:rsid w:val="3DAA0180"/>
    <w:rsid w:val="3E4205EB"/>
    <w:rsid w:val="3E477D57"/>
    <w:rsid w:val="3E61074D"/>
    <w:rsid w:val="3E6F38A3"/>
    <w:rsid w:val="3EA64DEB"/>
    <w:rsid w:val="3ED92ACB"/>
    <w:rsid w:val="3F0652EA"/>
    <w:rsid w:val="3F1C77F7"/>
    <w:rsid w:val="3F6D3055"/>
    <w:rsid w:val="3F7171A7"/>
    <w:rsid w:val="3F9E2F24"/>
    <w:rsid w:val="3FA107A1"/>
    <w:rsid w:val="3FAE59C9"/>
    <w:rsid w:val="402713FE"/>
    <w:rsid w:val="40EB11DB"/>
    <w:rsid w:val="41362456"/>
    <w:rsid w:val="41412BA9"/>
    <w:rsid w:val="417836A0"/>
    <w:rsid w:val="41BC374E"/>
    <w:rsid w:val="41E050D6"/>
    <w:rsid w:val="420135C7"/>
    <w:rsid w:val="426054F5"/>
    <w:rsid w:val="427D180C"/>
    <w:rsid w:val="427F4222"/>
    <w:rsid w:val="42AC04F6"/>
    <w:rsid w:val="42C115C8"/>
    <w:rsid w:val="42DE7077"/>
    <w:rsid w:val="42FA5B04"/>
    <w:rsid w:val="4305313F"/>
    <w:rsid w:val="433230F1"/>
    <w:rsid w:val="43476B9D"/>
    <w:rsid w:val="43500580"/>
    <w:rsid w:val="435419DC"/>
    <w:rsid w:val="43C111A2"/>
    <w:rsid w:val="44134CD1"/>
    <w:rsid w:val="44446C38"/>
    <w:rsid w:val="446E1F07"/>
    <w:rsid w:val="44913B8D"/>
    <w:rsid w:val="44BA15F0"/>
    <w:rsid w:val="44C63AF1"/>
    <w:rsid w:val="44E7583F"/>
    <w:rsid w:val="45036AF3"/>
    <w:rsid w:val="451F222F"/>
    <w:rsid w:val="456F5F37"/>
    <w:rsid w:val="458D0AB3"/>
    <w:rsid w:val="45AA0617"/>
    <w:rsid w:val="45C716A2"/>
    <w:rsid w:val="45DA6208"/>
    <w:rsid w:val="45E20EBC"/>
    <w:rsid w:val="460E6119"/>
    <w:rsid w:val="461F3D68"/>
    <w:rsid w:val="462451D0"/>
    <w:rsid w:val="46477E22"/>
    <w:rsid w:val="46762775"/>
    <w:rsid w:val="46784CB7"/>
    <w:rsid w:val="46CE6C45"/>
    <w:rsid w:val="470E5488"/>
    <w:rsid w:val="471C71E0"/>
    <w:rsid w:val="47347C1D"/>
    <w:rsid w:val="4766659B"/>
    <w:rsid w:val="48052B82"/>
    <w:rsid w:val="48266353"/>
    <w:rsid w:val="486C0E54"/>
    <w:rsid w:val="48F70DA2"/>
    <w:rsid w:val="49557B3A"/>
    <w:rsid w:val="496833C9"/>
    <w:rsid w:val="49B02FC2"/>
    <w:rsid w:val="49BF4FB3"/>
    <w:rsid w:val="49D433EE"/>
    <w:rsid w:val="49E73F04"/>
    <w:rsid w:val="4A0F1FE1"/>
    <w:rsid w:val="4A2E27D8"/>
    <w:rsid w:val="4A8A55C1"/>
    <w:rsid w:val="4AB80560"/>
    <w:rsid w:val="4AB97C54"/>
    <w:rsid w:val="4ABF34BD"/>
    <w:rsid w:val="4AD644D1"/>
    <w:rsid w:val="4B6978CC"/>
    <w:rsid w:val="4B7C7600"/>
    <w:rsid w:val="4B9E7576"/>
    <w:rsid w:val="4BA24D84"/>
    <w:rsid w:val="4BF72F56"/>
    <w:rsid w:val="4C2A7A77"/>
    <w:rsid w:val="4C4F35BC"/>
    <w:rsid w:val="4C633D3F"/>
    <w:rsid w:val="4CC90623"/>
    <w:rsid w:val="4D035BA6"/>
    <w:rsid w:val="4D4831EF"/>
    <w:rsid w:val="4D491731"/>
    <w:rsid w:val="4D8D78A2"/>
    <w:rsid w:val="4D950505"/>
    <w:rsid w:val="4DB61CC2"/>
    <w:rsid w:val="4DFC0584"/>
    <w:rsid w:val="4E404914"/>
    <w:rsid w:val="4E4E112E"/>
    <w:rsid w:val="4E8567CB"/>
    <w:rsid w:val="4E9B153C"/>
    <w:rsid w:val="4EE334F2"/>
    <w:rsid w:val="4F20392C"/>
    <w:rsid w:val="4F643C1D"/>
    <w:rsid w:val="4F7725B8"/>
    <w:rsid w:val="4F8627FB"/>
    <w:rsid w:val="4FA34B34"/>
    <w:rsid w:val="4FAE3B00"/>
    <w:rsid w:val="4FBD3D43"/>
    <w:rsid w:val="4FE30545"/>
    <w:rsid w:val="50394C31"/>
    <w:rsid w:val="504D7564"/>
    <w:rsid w:val="50747314"/>
    <w:rsid w:val="50827466"/>
    <w:rsid w:val="50946536"/>
    <w:rsid w:val="50AF7B2F"/>
    <w:rsid w:val="51020E71"/>
    <w:rsid w:val="5113030D"/>
    <w:rsid w:val="51946031"/>
    <w:rsid w:val="51A74BD1"/>
    <w:rsid w:val="51D84177"/>
    <w:rsid w:val="51ED7598"/>
    <w:rsid w:val="52131FB2"/>
    <w:rsid w:val="52357605"/>
    <w:rsid w:val="52374280"/>
    <w:rsid w:val="52D25D57"/>
    <w:rsid w:val="52F4603B"/>
    <w:rsid w:val="533267F6"/>
    <w:rsid w:val="53400F13"/>
    <w:rsid w:val="54185E47"/>
    <w:rsid w:val="542D76E9"/>
    <w:rsid w:val="54353BDF"/>
    <w:rsid w:val="54576514"/>
    <w:rsid w:val="547A7449"/>
    <w:rsid w:val="54857525"/>
    <w:rsid w:val="54AD73FE"/>
    <w:rsid w:val="54D658CF"/>
    <w:rsid w:val="55322EB0"/>
    <w:rsid w:val="556233C2"/>
    <w:rsid w:val="5595456F"/>
    <w:rsid w:val="55AA4D69"/>
    <w:rsid w:val="55ED4EED"/>
    <w:rsid w:val="55FB1B75"/>
    <w:rsid w:val="56417E01"/>
    <w:rsid w:val="56717635"/>
    <w:rsid w:val="56901DC8"/>
    <w:rsid w:val="56AD6795"/>
    <w:rsid w:val="56C90FA4"/>
    <w:rsid w:val="57347DAF"/>
    <w:rsid w:val="575B27BF"/>
    <w:rsid w:val="57620F3F"/>
    <w:rsid w:val="57CA34A1"/>
    <w:rsid w:val="58160494"/>
    <w:rsid w:val="582D0B4A"/>
    <w:rsid w:val="58BC103B"/>
    <w:rsid w:val="58EC27BC"/>
    <w:rsid w:val="591D07C7"/>
    <w:rsid w:val="59306928"/>
    <w:rsid w:val="59561CA9"/>
    <w:rsid w:val="596B65E2"/>
    <w:rsid w:val="5A33532D"/>
    <w:rsid w:val="5A3E77B9"/>
    <w:rsid w:val="5A6D2463"/>
    <w:rsid w:val="5A9F6E67"/>
    <w:rsid w:val="5AE60011"/>
    <w:rsid w:val="5AF56F8B"/>
    <w:rsid w:val="5AF6170D"/>
    <w:rsid w:val="5B01367D"/>
    <w:rsid w:val="5B0155A8"/>
    <w:rsid w:val="5B210722"/>
    <w:rsid w:val="5B3C4B26"/>
    <w:rsid w:val="5B413F46"/>
    <w:rsid w:val="5BA7240A"/>
    <w:rsid w:val="5BD40D92"/>
    <w:rsid w:val="5BDB3ECE"/>
    <w:rsid w:val="5BFB1E7B"/>
    <w:rsid w:val="5CB169DD"/>
    <w:rsid w:val="5CCE3A33"/>
    <w:rsid w:val="5CDB3A5A"/>
    <w:rsid w:val="5CDF179C"/>
    <w:rsid w:val="5D0E599D"/>
    <w:rsid w:val="5D101956"/>
    <w:rsid w:val="5D234849"/>
    <w:rsid w:val="5D243653"/>
    <w:rsid w:val="5D4B6E32"/>
    <w:rsid w:val="5D6F0D72"/>
    <w:rsid w:val="5D72616D"/>
    <w:rsid w:val="5DB22A0D"/>
    <w:rsid w:val="5E3033B1"/>
    <w:rsid w:val="5E31427A"/>
    <w:rsid w:val="5E5E2B95"/>
    <w:rsid w:val="5E7C15E7"/>
    <w:rsid w:val="5F0C25F1"/>
    <w:rsid w:val="5F1C44A0"/>
    <w:rsid w:val="5F3640E8"/>
    <w:rsid w:val="5F593A88"/>
    <w:rsid w:val="5FCA1F0E"/>
    <w:rsid w:val="608606E9"/>
    <w:rsid w:val="608B7A12"/>
    <w:rsid w:val="60CC3634"/>
    <w:rsid w:val="60D3786A"/>
    <w:rsid w:val="610C4B2A"/>
    <w:rsid w:val="611F2AAF"/>
    <w:rsid w:val="615D0D2F"/>
    <w:rsid w:val="617202E0"/>
    <w:rsid w:val="618D4FE5"/>
    <w:rsid w:val="61B56F70"/>
    <w:rsid w:val="620662A2"/>
    <w:rsid w:val="624A76B8"/>
    <w:rsid w:val="624C78D4"/>
    <w:rsid w:val="62663D4A"/>
    <w:rsid w:val="62725C6F"/>
    <w:rsid w:val="628D13F3"/>
    <w:rsid w:val="62A274F4"/>
    <w:rsid w:val="62D022B3"/>
    <w:rsid w:val="63051831"/>
    <w:rsid w:val="63185A08"/>
    <w:rsid w:val="631C7786"/>
    <w:rsid w:val="63426E00"/>
    <w:rsid w:val="63A86202"/>
    <w:rsid w:val="63D37616"/>
    <w:rsid w:val="63FD075A"/>
    <w:rsid w:val="64164C50"/>
    <w:rsid w:val="642F6FC1"/>
    <w:rsid w:val="645D22AF"/>
    <w:rsid w:val="64A137DB"/>
    <w:rsid w:val="64A85D79"/>
    <w:rsid w:val="64F63B27"/>
    <w:rsid w:val="65533AE5"/>
    <w:rsid w:val="656C5B97"/>
    <w:rsid w:val="658612D7"/>
    <w:rsid w:val="65C20A14"/>
    <w:rsid w:val="65D26342"/>
    <w:rsid w:val="665B6338"/>
    <w:rsid w:val="67010561"/>
    <w:rsid w:val="670F2C7E"/>
    <w:rsid w:val="673C70F7"/>
    <w:rsid w:val="673D2DDC"/>
    <w:rsid w:val="67555E87"/>
    <w:rsid w:val="67670D0C"/>
    <w:rsid w:val="67883762"/>
    <w:rsid w:val="67BF7384"/>
    <w:rsid w:val="67F867D3"/>
    <w:rsid w:val="680337B9"/>
    <w:rsid w:val="683706DE"/>
    <w:rsid w:val="684352D5"/>
    <w:rsid w:val="685F3791"/>
    <w:rsid w:val="68774F7F"/>
    <w:rsid w:val="68831B76"/>
    <w:rsid w:val="68A45648"/>
    <w:rsid w:val="68F15F75"/>
    <w:rsid w:val="68F55EA4"/>
    <w:rsid w:val="69271CE8"/>
    <w:rsid w:val="693410C2"/>
    <w:rsid w:val="69541AC0"/>
    <w:rsid w:val="695D5F23"/>
    <w:rsid w:val="69F543AD"/>
    <w:rsid w:val="69F957DD"/>
    <w:rsid w:val="6A6034B6"/>
    <w:rsid w:val="6A856939"/>
    <w:rsid w:val="6A9B7277"/>
    <w:rsid w:val="6B0F5943"/>
    <w:rsid w:val="6B7439F8"/>
    <w:rsid w:val="6B822146"/>
    <w:rsid w:val="6BC410B7"/>
    <w:rsid w:val="6BF568E6"/>
    <w:rsid w:val="6C0D0B18"/>
    <w:rsid w:val="6C152AE5"/>
    <w:rsid w:val="6C580903"/>
    <w:rsid w:val="6C632198"/>
    <w:rsid w:val="6C773579"/>
    <w:rsid w:val="6DA34120"/>
    <w:rsid w:val="6DD6347A"/>
    <w:rsid w:val="6DDD7632"/>
    <w:rsid w:val="6DE4511F"/>
    <w:rsid w:val="6E1F5A5B"/>
    <w:rsid w:val="6E38098E"/>
    <w:rsid w:val="6E4006B2"/>
    <w:rsid w:val="6E41320F"/>
    <w:rsid w:val="6EA25F07"/>
    <w:rsid w:val="6EAE7221"/>
    <w:rsid w:val="6EC66E4A"/>
    <w:rsid w:val="6EDF387E"/>
    <w:rsid w:val="6F042FE9"/>
    <w:rsid w:val="6F156D3B"/>
    <w:rsid w:val="6F176B74"/>
    <w:rsid w:val="6F370FC4"/>
    <w:rsid w:val="6F3A0AB4"/>
    <w:rsid w:val="6F4D6275"/>
    <w:rsid w:val="6F7A740B"/>
    <w:rsid w:val="6F86196C"/>
    <w:rsid w:val="6F8D6E36"/>
    <w:rsid w:val="700C26D8"/>
    <w:rsid w:val="70366BE3"/>
    <w:rsid w:val="703679D8"/>
    <w:rsid w:val="704716DB"/>
    <w:rsid w:val="70544BEF"/>
    <w:rsid w:val="70A250A7"/>
    <w:rsid w:val="70AB3A18"/>
    <w:rsid w:val="70BE7228"/>
    <w:rsid w:val="70D311C0"/>
    <w:rsid w:val="70DD0252"/>
    <w:rsid w:val="71092E34"/>
    <w:rsid w:val="7120442D"/>
    <w:rsid w:val="712F655D"/>
    <w:rsid w:val="71F63FE6"/>
    <w:rsid w:val="71FE1772"/>
    <w:rsid w:val="721C24D3"/>
    <w:rsid w:val="72505D04"/>
    <w:rsid w:val="725319FA"/>
    <w:rsid w:val="72712834"/>
    <w:rsid w:val="72A20E4A"/>
    <w:rsid w:val="72BD6ACB"/>
    <w:rsid w:val="72D92D0A"/>
    <w:rsid w:val="7329331A"/>
    <w:rsid w:val="735A34D3"/>
    <w:rsid w:val="736B605A"/>
    <w:rsid w:val="738C5C37"/>
    <w:rsid w:val="738D2E91"/>
    <w:rsid w:val="73910F79"/>
    <w:rsid w:val="739A0B75"/>
    <w:rsid w:val="739B71A3"/>
    <w:rsid w:val="73A17354"/>
    <w:rsid w:val="73B5231A"/>
    <w:rsid w:val="73D47729"/>
    <w:rsid w:val="73ED77FA"/>
    <w:rsid w:val="73F45A70"/>
    <w:rsid w:val="740F0761"/>
    <w:rsid w:val="746278CC"/>
    <w:rsid w:val="74C6512C"/>
    <w:rsid w:val="750C6A4F"/>
    <w:rsid w:val="751D573A"/>
    <w:rsid w:val="758B2A60"/>
    <w:rsid w:val="75CF4170"/>
    <w:rsid w:val="75F0613A"/>
    <w:rsid w:val="75F70992"/>
    <w:rsid w:val="765D66B0"/>
    <w:rsid w:val="77016E10"/>
    <w:rsid w:val="771A36A5"/>
    <w:rsid w:val="772938E8"/>
    <w:rsid w:val="77466345"/>
    <w:rsid w:val="77502897"/>
    <w:rsid w:val="77674410"/>
    <w:rsid w:val="77B13F1A"/>
    <w:rsid w:val="77BC7F2D"/>
    <w:rsid w:val="77CE4490"/>
    <w:rsid w:val="782213B2"/>
    <w:rsid w:val="78306EF8"/>
    <w:rsid w:val="784D1D22"/>
    <w:rsid w:val="785C7CED"/>
    <w:rsid w:val="786D3CA8"/>
    <w:rsid w:val="78DF4BA6"/>
    <w:rsid w:val="791D20CB"/>
    <w:rsid w:val="79346574"/>
    <w:rsid w:val="7934779F"/>
    <w:rsid w:val="798474FC"/>
    <w:rsid w:val="79974A93"/>
    <w:rsid w:val="79CE4C1B"/>
    <w:rsid w:val="79D7587D"/>
    <w:rsid w:val="79D833A4"/>
    <w:rsid w:val="79F96F5D"/>
    <w:rsid w:val="7A15284A"/>
    <w:rsid w:val="7A692B9F"/>
    <w:rsid w:val="7A73208D"/>
    <w:rsid w:val="7AD0398B"/>
    <w:rsid w:val="7AF4420D"/>
    <w:rsid w:val="7B931C78"/>
    <w:rsid w:val="7BA94FF8"/>
    <w:rsid w:val="7BAC4AE8"/>
    <w:rsid w:val="7BAE6AB2"/>
    <w:rsid w:val="7BB75A6B"/>
    <w:rsid w:val="7BE81A4F"/>
    <w:rsid w:val="7C18217D"/>
    <w:rsid w:val="7C4418D7"/>
    <w:rsid w:val="7C484D8B"/>
    <w:rsid w:val="7C653614"/>
    <w:rsid w:val="7CC70469"/>
    <w:rsid w:val="7CDB38D7"/>
    <w:rsid w:val="7D103724"/>
    <w:rsid w:val="7D5F4465"/>
    <w:rsid w:val="7D996517"/>
    <w:rsid w:val="7DBA173E"/>
    <w:rsid w:val="7DC46119"/>
    <w:rsid w:val="7DEB13D7"/>
    <w:rsid w:val="7DFA6D86"/>
    <w:rsid w:val="7E1D1B7B"/>
    <w:rsid w:val="7E1F3FB4"/>
    <w:rsid w:val="7E435F80"/>
    <w:rsid w:val="7E7E09BD"/>
    <w:rsid w:val="7E896090"/>
    <w:rsid w:val="7EC446FA"/>
    <w:rsid w:val="7F0F1615"/>
    <w:rsid w:val="7F277E77"/>
    <w:rsid w:val="7F2826D7"/>
    <w:rsid w:val="7F3E639F"/>
    <w:rsid w:val="7F403D11"/>
    <w:rsid w:val="7F765B38"/>
    <w:rsid w:val="BFD76F3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7"/>
    <w:semiHidden/>
    <w:unhideWhenUsed/>
    <w:qFormat/>
    <w:uiPriority w:val="0"/>
    <w:pPr>
      <w:ind w:left="100" w:leftChars="2500"/>
    </w:pPr>
  </w:style>
  <w:style w:type="paragraph" w:styleId="3">
    <w:name w:val="Balloon Text"/>
    <w:basedOn w:val="1"/>
    <w:link w:val="14"/>
    <w:qFormat/>
    <w:uiPriority w:val="0"/>
    <w:pPr>
      <w:widowControl w:val="0"/>
      <w:jc w:val="both"/>
    </w:pPr>
    <w:rPr>
      <w:rFonts w:asciiTheme="minorHAnsi" w:hAnsiTheme="minorHAnsi" w:eastAsiaTheme="minorEastAsia" w:cstheme="minorBidi"/>
      <w:kern w:val="2"/>
      <w:sz w:val="18"/>
      <w:szCs w:val="18"/>
    </w:rPr>
  </w:style>
  <w:style w:type="paragraph" w:styleId="4">
    <w:name w:val="footer"/>
    <w:basedOn w:val="1"/>
    <w:link w:val="12"/>
    <w:qFormat/>
    <w:uiPriority w:val="99"/>
    <w:pPr>
      <w:widowControl w:val="0"/>
      <w:tabs>
        <w:tab w:val="center" w:pos="4153"/>
        <w:tab w:val="right" w:pos="8306"/>
      </w:tabs>
      <w:snapToGrid w:val="0"/>
    </w:pPr>
    <w:rPr>
      <w:rFonts w:asciiTheme="minorHAnsi" w:hAnsiTheme="minorHAnsi" w:eastAsiaTheme="minorEastAsia" w:cstheme="minorBidi"/>
      <w:kern w:val="2"/>
      <w:sz w:val="18"/>
      <w:szCs w:val="18"/>
    </w:rPr>
  </w:style>
  <w:style w:type="paragraph" w:styleId="5">
    <w:name w:val="header"/>
    <w:basedOn w:val="1"/>
    <w:link w:val="11"/>
    <w:qFormat/>
    <w:uiPriority w:val="0"/>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paragraph" w:styleId="6">
    <w:name w:val="Normal (Web)"/>
    <w:basedOn w:val="1"/>
    <w:qFormat/>
    <w:uiPriority w:val="99"/>
    <w:pPr>
      <w:spacing w:before="100" w:beforeAutospacing="1" w:after="100" w:afterAutospacing="1"/>
    </w:pPr>
    <w:rPr>
      <w:rFonts w:cs="Times New Roman"/>
      <w:color w:val="000000"/>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qFormat/>
    <w:uiPriority w:val="0"/>
    <w:rPr>
      <w:color w:val="0000FF"/>
      <w:u w:val="single"/>
    </w:rPr>
  </w:style>
  <w:style w:type="character" w:customStyle="1" w:styleId="11">
    <w:name w:val="页眉 Char"/>
    <w:basedOn w:val="9"/>
    <w:link w:val="5"/>
    <w:qFormat/>
    <w:uiPriority w:val="0"/>
    <w:rPr>
      <w:kern w:val="2"/>
      <w:sz w:val="18"/>
      <w:szCs w:val="18"/>
    </w:rPr>
  </w:style>
  <w:style w:type="character" w:customStyle="1" w:styleId="12">
    <w:name w:val="页脚 Char"/>
    <w:basedOn w:val="9"/>
    <w:link w:val="4"/>
    <w:qFormat/>
    <w:uiPriority w:val="99"/>
    <w:rPr>
      <w:kern w:val="2"/>
      <w:sz w:val="18"/>
      <w:szCs w:val="18"/>
    </w:rPr>
  </w:style>
  <w:style w:type="paragraph" w:styleId="13">
    <w:name w:val="List Paragraph"/>
    <w:basedOn w:val="1"/>
    <w:qFormat/>
    <w:uiPriority w:val="99"/>
    <w:pPr>
      <w:widowControl w:val="0"/>
      <w:ind w:firstLine="420" w:firstLineChars="200"/>
      <w:jc w:val="both"/>
    </w:pPr>
    <w:rPr>
      <w:rFonts w:asciiTheme="minorHAnsi" w:hAnsiTheme="minorHAnsi" w:eastAsiaTheme="minorEastAsia" w:cstheme="minorBidi"/>
      <w:kern w:val="2"/>
      <w:sz w:val="21"/>
    </w:rPr>
  </w:style>
  <w:style w:type="character" w:customStyle="1" w:styleId="14">
    <w:name w:val="批注框文本 Char"/>
    <w:basedOn w:val="9"/>
    <w:link w:val="3"/>
    <w:qFormat/>
    <w:uiPriority w:val="0"/>
    <w:rPr>
      <w:kern w:val="2"/>
      <w:sz w:val="18"/>
      <w:szCs w:val="18"/>
    </w:rPr>
  </w:style>
  <w:style w:type="character" w:customStyle="1" w:styleId="15">
    <w:name w:val="未处理的提及1"/>
    <w:basedOn w:val="9"/>
    <w:semiHidden/>
    <w:unhideWhenUsed/>
    <w:qFormat/>
    <w:uiPriority w:val="99"/>
    <w:rPr>
      <w:color w:val="605E5C"/>
      <w:shd w:val="clear" w:color="auto" w:fill="E1DFDD"/>
    </w:rPr>
  </w:style>
  <w:style w:type="character" w:customStyle="1" w:styleId="16">
    <w:name w:val="未处理的提及2"/>
    <w:basedOn w:val="9"/>
    <w:semiHidden/>
    <w:unhideWhenUsed/>
    <w:qFormat/>
    <w:uiPriority w:val="99"/>
    <w:rPr>
      <w:color w:val="605E5C"/>
      <w:shd w:val="clear" w:color="auto" w:fill="E1DFDD"/>
    </w:rPr>
  </w:style>
  <w:style w:type="character" w:customStyle="1" w:styleId="17">
    <w:name w:val="日期 Char"/>
    <w:basedOn w:val="9"/>
    <w:link w:val="2"/>
    <w:semiHidden/>
    <w:qFormat/>
    <w:uiPriority w:val="0"/>
    <w:rPr>
      <w:rFonts w:ascii="宋体" w:hAnsi="宋体" w:cs="宋体"/>
      <w:sz w:val="24"/>
      <w:szCs w:val="24"/>
    </w:rPr>
  </w:style>
  <w:style w:type="character" w:customStyle="1" w:styleId="18">
    <w:name w:val="font51"/>
    <w:basedOn w:val="9"/>
    <w:qFormat/>
    <w:uiPriority w:val="0"/>
    <w:rPr>
      <w:rFonts w:hint="eastAsia" w:ascii="宋体" w:hAnsi="宋体" w:eastAsia="宋体" w:cs="宋体"/>
      <w:color w:val="000000"/>
      <w:sz w:val="32"/>
      <w:szCs w:val="32"/>
      <w:u w:val="none"/>
    </w:rPr>
  </w:style>
  <w:style w:type="character" w:customStyle="1" w:styleId="19">
    <w:name w:val="font71"/>
    <w:basedOn w:val="9"/>
    <w:qFormat/>
    <w:uiPriority w:val="0"/>
    <w:rPr>
      <w:rFonts w:hint="default" w:ascii="仿宋_GB2312" w:eastAsia="仿宋_GB2312" w:cs="仿宋_GB2312"/>
      <w:color w:val="000000"/>
      <w:sz w:val="32"/>
      <w:szCs w:val="32"/>
      <w:u w:val="none"/>
    </w:rPr>
  </w:style>
  <w:style w:type="character" w:customStyle="1" w:styleId="20">
    <w:name w:val="font101"/>
    <w:basedOn w:val="9"/>
    <w:qFormat/>
    <w:uiPriority w:val="0"/>
    <w:rPr>
      <w:rFonts w:hint="default" w:ascii="仿宋_GB2312" w:eastAsia="仿宋_GB2312" w:cs="仿宋_GB2312"/>
      <w:color w:val="000000"/>
      <w:sz w:val="32"/>
      <w:szCs w:val="32"/>
      <w:u w:val="none"/>
    </w:rPr>
  </w:style>
  <w:style w:type="character" w:customStyle="1" w:styleId="21">
    <w:name w:val="font121"/>
    <w:basedOn w:val="9"/>
    <w:qFormat/>
    <w:uiPriority w:val="0"/>
    <w:rPr>
      <w:rFonts w:hint="eastAsia" w:ascii="宋体" w:hAnsi="宋体" w:eastAsia="宋体" w:cs="宋体"/>
      <w:color w:val="000000"/>
      <w:sz w:val="32"/>
      <w:szCs w:val="3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814</Words>
  <Characters>4646</Characters>
  <Lines>38</Lines>
  <Paragraphs>10</Paragraphs>
  <TotalTime>0</TotalTime>
  <ScaleCrop>false</ScaleCrop>
  <LinksUpToDate>false</LinksUpToDate>
  <CharactersWithSpaces>5450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2024-03-22T19:56:00Z</dcterms:created>
  <dc:creator>zr</dc:creator>
  <cp:lastModifiedBy>Administrator</cp:lastModifiedBy>
  <cp:lastPrinted>2024-12-03T23:00:00Z</cp:lastPrinted>
  <dcterms:modified xsi:type="dcterms:W3CDTF">2025-03-06T08:27:18Z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2DA42A3600314A0AAC9FD860CB0353D2_13</vt:lpwstr>
  </property>
  <property fmtid="{D5CDD505-2E9C-101B-9397-08002B2CF9AE}" pid="4" name="KSOTemplateDocerSaveRecord">
    <vt:lpwstr>eyJoZGlkIjoiNGQ1MDYxZTNjZGUyYzFhM2IyOGU5MmVjOGI5YTRkMWMiLCJ1c2VySWQiOiI2Mzc3NDU0MTkifQ==</vt:lpwstr>
  </property>
</Properties>
</file>