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0"/>
        </w:numPr>
        <w:spacing w:after="240" w:line="540" w:lineRule="exact"/>
        <w:jc w:val="center"/>
        <w:rPr>
          <w:rFonts w:ascii="仿宋_GB2312" w:eastAsia="黑体"/>
          <w:b/>
          <w:bCs/>
          <w:sz w:val="48"/>
          <w:szCs w:val="48"/>
        </w:rPr>
      </w:pPr>
    </w:p>
    <w:p>
      <w:pPr>
        <w:pStyle w:val="3"/>
        <w:ind w:left="0" w:leftChars="0" w:firstLine="0" w:firstLineChars="0"/>
      </w:pPr>
    </w:p>
    <w:p>
      <w:pPr>
        <w:spacing w:after="312" w:afterLines="100" w:line="560" w:lineRule="exact"/>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北京市市级财政支出项目</w:t>
      </w:r>
    </w:p>
    <w:p>
      <w:pPr>
        <w:spacing w:after="312" w:afterLines="100" w:line="560" w:lineRule="exact"/>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绩效评价报告</w:t>
      </w:r>
    </w:p>
    <w:p>
      <w:pPr>
        <w:snapToGrid w:val="0"/>
        <w:spacing w:after="312" w:afterLines="100" w:line="300" w:lineRule="auto"/>
        <w:rPr>
          <w:rFonts w:eastAsia="仿宋_GB2312"/>
          <w:b/>
          <w:bCs/>
          <w:sz w:val="36"/>
          <w:szCs w:val="20"/>
        </w:rPr>
      </w:pPr>
    </w:p>
    <w:p>
      <w:pPr>
        <w:snapToGrid w:val="0"/>
        <w:spacing w:after="312" w:afterLines="100" w:line="300" w:lineRule="auto"/>
        <w:ind w:firstLine="723" w:firstLineChars="200"/>
        <w:rPr>
          <w:rFonts w:eastAsia="仿宋_GB2312"/>
          <w:b/>
          <w:bCs/>
          <w:sz w:val="36"/>
          <w:szCs w:val="20"/>
        </w:rPr>
      </w:pPr>
    </w:p>
    <w:p>
      <w:pPr>
        <w:snapToGrid w:val="0"/>
        <w:spacing w:after="312" w:afterLines="100" w:line="300" w:lineRule="auto"/>
        <w:ind w:firstLine="723" w:firstLineChars="200"/>
        <w:rPr>
          <w:rFonts w:eastAsia="仿宋_GB2312"/>
          <w:b/>
          <w:bCs/>
          <w:sz w:val="36"/>
          <w:szCs w:val="20"/>
        </w:rPr>
      </w:pPr>
    </w:p>
    <w:p>
      <w:pPr>
        <w:snapToGrid w:val="0"/>
        <w:spacing w:after="312" w:afterLines="100" w:line="300" w:lineRule="auto"/>
        <w:ind w:firstLine="723" w:firstLineChars="200"/>
        <w:rPr>
          <w:rFonts w:eastAsia="仿宋_GB2312"/>
          <w:b/>
          <w:bCs/>
          <w:sz w:val="36"/>
          <w:szCs w:val="20"/>
        </w:rPr>
      </w:pPr>
    </w:p>
    <w:p>
      <w:pPr>
        <w:snapToGrid w:val="0"/>
        <w:spacing w:after="312" w:afterLines="100" w:line="300" w:lineRule="auto"/>
        <w:rPr>
          <w:rFonts w:eastAsia="仿宋_GB2312"/>
          <w:b/>
          <w:bCs/>
          <w:sz w:val="36"/>
          <w:szCs w:val="20"/>
        </w:rPr>
      </w:pPr>
    </w:p>
    <w:p>
      <w:pPr>
        <w:spacing w:after="312" w:afterLines="100" w:line="560" w:lineRule="exact"/>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主管部门：</w:t>
      </w:r>
      <w:r>
        <w:rPr>
          <w:rFonts w:hint="eastAsia" w:ascii="仿宋_GB2312" w:hAnsi="宋体" w:eastAsia="仿宋_GB2312"/>
          <w:b/>
          <w:kern w:val="0"/>
          <w:sz w:val="32"/>
          <w:szCs w:val="28"/>
          <w:u w:val="single"/>
        </w:rPr>
        <w:t xml:space="preserve">       </w:t>
      </w:r>
      <w:r>
        <w:rPr>
          <w:rFonts w:hint="eastAsia" w:ascii="仿宋_GB2312" w:hAnsi="宋体" w:eastAsia="仿宋_GB2312"/>
          <w:bCs/>
          <w:kern w:val="0"/>
          <w:sz w:val="32"/>
          <w:szCs w:val="28"/>
          <w:u w:val="single"/>
        </w:rPr>
        <w:t xml:space="preserve">    北京市总工会  </w:t>
      </w:r>
      <w:r>
        <w:rPr>
          <w:rFonts w:hint="eastAsia" w:ascii="仿宋_GB2312" w:hAnsi="宋体" w:eastAsia="仿宋_GB2312"/>
          <w:b/>
          <w:kern w:val="0"/>
          <w:sz w:val="32"/>
          <w:szCs w:val="28"/>
          <w:u w:val="single"/>
        </w:rPr>
        <w:t xml:space="preserve">                  </w:t>
      </w:r>
    </w:p>
    <w:p>
      <w:pPr>
        <w:spacing w:after="312" w:afterLines="100" w:line="560" w:lineRule="exact"/>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项目单位：</w:t>
      </w:r>
      <w:r>
        <w:rPr>
          <w:rFonts w:hint="eastAsia" w:ascii="仿宋_GB2312" w:hAnsi="宋体" w:eastAsia="仿宋_GB2312"/>
          <w:b/>
          <w:kern w:val="0"/>
          <w:sz w:val="32"/>
          <w:szCs w:val="28"/>
          <w:u w:val="single"/>
        </w:rPr>
        <w:t xml:space="preserve">           </w:t>
      </w:r>
      <w:r>
        <w:rPr>
          <w:rFonts w:hint="eastAsia" w:ascii="仿宋_GB2312" w:hAnsi="宋体" w:eastAsia="仿宋_GB2312"/>
          <w:bCs/>
          <w:kern w:val="0"/>
          <w:sz w:val="32"/>
          <w:szCs w:val="28"/>
          <w:u w:val="single"/>
        </w:rPr>
        <w:t xml:space="preserve">北京市总工会网络工作部  </w:t>
      </w:r>
      <w:r>
        <w:rPr>
          <w:rFonts w:hint="eastAsia" w:ascii="仿宋_GB2312" w:hAnsi="宋体" w:eastAsia="仿宋_GB2312"/>
          <w:b/>
          <w:kern w:val="0"/>
          <w:sz w:val="32"/>
          <w:szCs w:val="28"/>
          <w:u w:val="single"/>
        </w:rPr>
        <w:t xml:space="preserve">        </w:t>
      </w:r>
    </w:p>
    <w:p>
      <w:pPr>
        <w:spacing w:after="312" w:afterLines="100" w:line="560" w:lineRule="exact"/>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项目名称：</w:t>
      </w:r>
      <w:r>
        <w:rPr>
          <w:rFonts w:hint="eastAsia" w:ascii="仿宋_GB2312" w:hAnsi="宋体" w:eastAsia="仿宋_GB2312"/>
          <w:b/>
          <w:kern w:val="0"/>
          <w:sz w:val="32"/>
          <w:szCs w:val="28"/>
          <w:u w:val="single"/>
        </w:rPr>
        <w:t xml:space="preserve">           </w:t>
      </w:r>
      <w:r>
        <w:rPr>
          <w:rFonts w:hint="eastAsia" w:ascii="仿宋_GB2312" w:hAnsi="宋体" w:eastAsia="仿宋_GB2312"/>
          <w:bCs/>
          <w:kern w:val="0"/>
          <w:sz w:val="32"/>
          <w:szCs w:val="28"/>
          <w:u w:val="single"/>
          <w:lang w:eastAsia="zh-Hans"/>
        </w:rPr>
        <w:t>2023年政务云服务</w:t>
      </w:r>
      <w:r>
        <w:rPr>
          <w:rFonts w:hint="eastAsia" w:ascii="仿宋_GB2312" w:hAnsi="宋体" w:eastAsia="仿宋_GB2312"/>
          <w:b/>
          <w:kern w:val="0"/>
          <w:sz w:val="32"/>
          <w:szCs w:val="28"/>
          <w:u w:val="single"/>
        </w:rPr>
        <w:t xml:space="preserve"> </w:t>
      </w:r>
      <w:r>
        <w:rPr>
          <w:rFonts w:hint="eastAsia" w:ascii="仿宋_GB2312" w:hAnsi="宋体" w:eastAsia="仿宋_GB2312"/>
          <w:b/>
          <w:kern w:val="0"/>
          <w:sz w:val="32"/>
          <w:szCs w:val="28"/>
          <w:u w:val="single"/>
          <w:lang w:val="en-US" w:eastAsia="zh-CN"/>
        </w:rPr>
        <w:t xml:space="preserve">           </w:t>
      </w:r>
      <w:r>
        <w:rPr>
          <w:rFonts w:hint="eastAsia" w:ascii="仿宋_GB2312" w:hAnsi="宋体" w:eastAsia="仿宋_GB2312"/>
          <w:b/>
          <w:kern w:val="0"/>
          <w:sz w:val="32"/>
          <w:szCs w:val="28"/>
          <w:u w:val="single"/>
        </w:rPr>
        <w:t xml:space="preserve">  </w:t>
      </w:r>
    </w:p>
    <w:p>
      <w:pPr>
        <w:spacing w:line="480" w:lineRule="auto"/>
        <w:jc w:val="center"/>
        <w:rPr>
          <w:rFonts w:hint="eastAsia" w:ascii="黑体" w:eastAsia="黑体"/>
          <w:b/>
          <w:sz w:val="32"/>
          <w:szCs w:val="20"/>
        </w:rPr>
      </w:pPr>
    </w:p>
    <w:p>
      <w:pPr>
        <w:pStyle w:val="3"/>
        <w:ind w:left="0" w:leftChars="0" w:firstLine="0" w:firstLineChars="0"/>
      </w:pPr>
    </w:p>
    <w:p>
      <w:pPr>
        <w:tabs>
          <w:tab w:val="center" w:pos="4422"/>
          <w:tab w:val="left" w:pos="6963"/>
        </w:tabs>
        <w:spacing w:line="480" w:lineRule="auto"/>
        <w:jc w:val="left"/>
        <w:rPr>
          <w:rFonts w:hint="eastAsia" w:ascii="黑体" w:eastAsia="黑体"/>
          <w:b/>
          <w:sz w:val="32"/>
          <w:szCs w:val="20"/>
        </w:rPr>
      </w:pPr>
    </w:p>
    <w:p>
      <w:pPr>
        <w:tabs>
          <w:tab w:val="center" w:pos="4422"/>
          <w:tab w:val="left" w:pos="6963"/>
        </w:tabs>
        <w:spacing w:line="480" w:lineRule="auto"/>
        <w:jc w:val="left"/>
        <w:rPr>
          <w:rFonts w:ascii="方正小标宋简体" w:hAnsi="Leelawadee UI" w:eastAsia="黑体" w:cs="Leelawadee UI"/>
          <w:bCs/>
          <w:kern w:val="0"/>
          <w:sz w:val="44"/>
          <w:szCs w:val="28"/>
        </w:rPr>
        <w:sectPr>
          <w:pgSz w:w="11906" w:h="16838"/>
          <w:pgMar w:top="2098" w:right="1474" w:bottom="1984" w:left="1587" w:header="851" w:footer="992" w:gutter="0"/>
          <w:cols w:space="720" w:num="1"/>
          <w:docGrid w:type="lines" w:linePitch="312" w:charSpace="0"/>
        </w:sectPr>
      </w:pPr>
      <w:r>
        <w:rPr>
          <w:rFonts w:hint="eastAsia" w:ascii="黑体" w:eastAsia="黑体"/>
          <w:b/>
          <w:sz w:val="32"/>
          <w:szCs w:val="20"/>
        </w:rPr>
        <w:tab/>
      </w:r>
      <w:r>
        <w:rPr>
          <w:rFonts w:hint="eastAsia" w:ascii="黑体" w:eastAsia="黑体"/>
          <w:b/>
          <w:sz w:val="32"/>
          <w:szCs w:val="20"/>
        </w:rPr>
        <w:t>2024年5月</w:t>
      </w:r>
    </w:p>
    <w:sdt>
      <w:sdtPr>
        <w:rPr>
          <w:rFonts w:hint="eastAsia" w:ascii="仿宋_GB2312" w:hAnsi="仿宋_GB2312" w:eastAsia="仿宋_GB2312" w:cs="仿宋_GB2312"/>
          <w:sz w:val="32"/>
          <w:szCs w:val="32"/>
        </w:rPr>
        <w:id w:val="147456283"/>
        <w15:color w:val="DBDBDB"/>
        <w:docPartObj>
          <w:docPartGallery w:val="Table of Contents"/>
          <w:docPartUnique/>
        </w:docPartObj>
      </w:sdtPr>
      <w:sdtEndPr>
        <w:rPr>
          <w:rFonts w:hint="eastAsia" w:ascii="仿宋_GB2312" w:hAnsi="仿宋_GB2312" w:eastAsia="仿宋_GB2312" w:cs="仿宋_GB2312"/>
          <w:sz w:val="32"/>
          <w:szCs w:val="32"/>
        </w:rPr>
      </w:sdtEndPr>
      <w:sdtContent>
        <w:p>
          <w:pPr>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目</w:t>
          </w:r>
          <w:r>
            <w:rPr>
              <w:rFonts w:hint="eastAsia" w:ascii="仿宋_GB2312" w:hAnsi="仿宋_GB2312" w:eastAsia="仿宋_GB2312" w:cs="仿宋_GB2312"/>
              <w:b/>
              <w:bCs/>
              <w:sz w:val="44"/>
              <w:szCs w:val="44"/>
              <w:lang w:val="en-US" w:eastAsia="zh-CN"/>
            </w:rPr>
            <w:t xml:space="preserve">  </w:t>
          </w:r>
          <w:r>
            <w:rPr>
              <w:rFonts w:hint="eastAsia" w:ascii="仿宋_GB2312" w:hAnsi="仿宋_GB2312" w:eastAsia="仿宋_GB2312" w:cs="仿宋_GB2312"/>
              <w:b/>
              <w:bCs/>
              <w:sz w:val="44"/>
              <w:szCs w:val="44"/>
            </w:rPr>
            <w:t>录</w:t>
          </w:r>
        </w:p>
        <w:p>
          <w:pPr>
            <w:pStyle w:val="13"/>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"1-2"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_Toc30445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一、基本情况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_Toc30445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_Toc8029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（一）项目</w:t>
          </w:r>
          <w:r>
            <w:rPr>
              <w:rFonts w:hint="eastAsia" w:ascii="仿宋_GB2312" w:hAnsi="仿宋_GB2312" w:eastAsia="仿宋_GB2312" w:cs="仿宋_GB2312"/>
              <w:bCs/>
              <w:sz w:val="32"/>
              <w:szCs w:val="32"/>
              <w:lang w:val="en-US" w:eastAsia="zh-CN"/>
            </w:rPr>
            <w:t>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_Toc8029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_Toc26119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bCs/>
              <w:sz w:val="32"/>
              <w:szCs w:val="32"/>
            </w:rPr>
            <w:t>）项目绩效目标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_Toc26119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_Toc30278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二、绩效评价工作开展情况</w:t>
          </w:r>
          <w:r>
            <w:rPr>
              <w:rFonts w:hint="eastAsia" w:ascii="仿宋_GB2312" w:hAnsi="仿宋_GB2312" w:eastAsia="仿宋_GB2312" w:cs="仿宋_GB2312"/>
              <w:b/>
              <w:bCs/>
              <w:sz w:val="32"/>
              <w:szCs w:val="32"/>
            </w:rPr>
            <w:tab/>
          </w:r>
          <w:bookmarkStart w:id="67" w:name="_GoBack"/>
          <w:bookmarkEnd w:id="67"/>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_Toc30278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_Toc27711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（一）绩效评价目的、对象和范围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_Toc27711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_Toc23524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（二）</w:t>
          </w:r>
          <w:r>
            <w:rPr>
              <w:rFonts w:hint="eastAsia" w:ascii="仿宋_GB2312" w:hAnsi="仿宋_GB2312" w:eastAsia="仿宋_GB2312" w:cs="仿宋_GB2312"/>
              <w:bCs/>
              <w:kern w:val="0"/>
              <w:sz w:val="32"/>
              <w:szCs w:val="32"/>
            </w:rPr>
            <w:t>绩效评价</w:t>
          </w:r>
          <w:r>
            <w:rPr>
              <w:rFonts w:hint="eastAsia" w:ascii="仿宋_GB2312" w:hAnsi="仿宋_GB2312" w:eastAsia="仿宋_GB2312" w:cs="仿宋_GB2312"/>
              <w:bCs/>
              <w:kern w:val="0"/>
              <w:sz w:val="32"/>
              <w:szCs w:val="32"/>
              <w:lang w:val="en-US" w:eastAsia="zh-CN"/>
            </w:rPr>
            <w:t>基本情况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_Toc23524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_Toc1849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（三）绩效评价工作过程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_Toc1849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_Toc2465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三、综合评价情况及评价结论</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_Toc2465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5</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3"/>
            <w:tabs>
              <w:tab w:val="right" w:leader="do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_Toc23459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四、绩效评价指标分析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_Toc23459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5</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_Toc26266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（一）项目决策情况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_Toc26266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_Toc23724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（二）项目过程情况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_Toc23724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_Toc10177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（三）项目产出情况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_Toc10177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_Toc10256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（四）项目效益情况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_Toc10256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3"/>
            <w:tabs>
              <w:tab w:val="right" w:leader="do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_Toc1580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五、存在的</w:t>
          </w:r>
          <w:r>
            <w:rPr>
              <w:rFonts w:hint="eastAsia" w:ascii="仿宋_GB2312" w:hAnsi="仿宋_GB2312" w:eastAsia="仿宋_GB2312" w:cs="仿宋_GB2312"/>
              <w:b/>
              <w:bCs/>
              <w:sz w:val="32"/>
              <w:szCs w:val="32"/>
              <w:lang w:val="en-US" w:eastAsia="zh-CN"/>
            </w:rPr>
            <w:t>主要</w:t>
          </w:r>
          <w:r>
            <w:rPr>
              <w:rFonts w:hint="eastAsia" w:ascii="仿宋_GB2312" w:hAnsi="仿宋_GB2312" w:eastAsia="仿宋_GB2312" w:cs="仿宋_GB2312"/>
              <w:b/>
              <w:bCs/>
              <w:sz w:val="32"/>
              <w:szCs w:val="32"/>
            </w:rPr>
            <w:t>问题</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_Toc1580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3"/>
            <w:tabs>
              <w:tab w:val="right" w:leader="do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_Toc18764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六、有关建议</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_Toc18764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8</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3"/>
            <w:tabs>
              <w:tab w:val="right" w:leader="do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_Toc15526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七、其他需要说明的问题</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_Toc15526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8</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3"/>
            <w:tabs>
              <w:tab w:val="right" w:leader="dot" w:pos="8306"/>
            </w:tabs>
            <w:rPr>
              <w:b/>
              <w:bCs/>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_Toc15955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八、附件</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_Toc15955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3"/>
            <w:tabs>
              <w:tab w:val="right" w:leader="dot" w:pos="8306"/>
            </w:tabs>
          </w:pPr>
        </w:p>
        <w:p>
          <w:pPr>
            <w:pStyle w:val="13"/>
            <w:tabs>
              <w:tab w:val="right" w:leader="dot" w:pos="8306"/>
            </w:tabs>
            <w:rPr>
              <w:rFonts w:ascii="仿宋_GB2312" w:hAnsi="仿宋_GB2312" w:eastAsia="仿宋_GB2312" w:cs="仿宋_GB2312"/>
              <w:sz w:val="32"/>
              <w:szCs w:val="32"/>
            </w:rPr>
          </w:pPr>
          <w:r>
            <w:rPr>
              <w:rFonts w:hint="eastAsia" w:ascii="仿宋_GB2312" w:hAnsi="仿宋_GB2312" w:eastAsia="仿宋_GB2312" w:cs="仿宋_GB2312"/>
              <w:szCs w:val="32"/>
            </w:rPr>
            <w:fldChar w:fldCharType="end"/>
          </w:r>
        </w:p>
      </w:sdtContent>
    </w:sdt>
    <w:p>
      <w:pPr>
        <w:spacing w:after="312" w:afterLines="100" w:line="560" w:lineRule="exact"/>
        <w:jc w:val="center"/>
        <w:rPr>
          <w:rFonts w:ascii="方正小标宋简体" w:hAnsi="Leelawadee UI" w:eastAsia="方正小标宋简体" w:cs="Leelawadee UI"/>
          <w:bCs/>
          <w:kern w:val="0"/>
          <w:sz w:val="44"/>
          <w:szCs w:val="44"/>
        </w:rPr>
      </w:pPr>
    </w:p>
    <w:p>
      <w:pPr>
        <w:pStyle w:val="2"/>
        <w:sectPr>
          <w:pgSz w:w="11906" w:h="16838"/>
          <w:pgMar w:top="1440" w:right="1800" w:bottom="1440" w:left="1800" w:header="851" w:footer="992" w:gutter="0"/>
          <w:cols w:space="425" w:num="1"/>
          <w:docGrid w:type="lines" w:linePitch="312" w:charSpace="0"/>
        </w:sectPr>
      </w:pPr>
    </w:p>
    <w:p>
      <w:pPr>
        <w:spacing w:after="312" w:afterLines="100" w:line="560" w:lineRule="exact"/>
        <w:jc w:val="center"/>
        <w:rPr>
          <w:rFonts w:ascii="方正小标宋简体" w:hAnsi="Leelawadee UI" w:eastAsia="方正小标宋简体" w:cs="Leelawadee UI"/>
          <w:bCs/>
          <w:kern w:val="0"/>
          <w:sz w:val="44"/>
          <w:szCs w:val="44"/>
        </w:rPr>
      </w:pPr>
      <w:r>
        <w:rPr>
          <w:rFonts w:hint="eastAsia" w:ascii="方正小标宋简体" w:hAnsi="Leelawadee UI" w:eastAsia="方正小标宋简体" w:cs="Leelawadee UI"/>
          <w:bCs/>
          <w:kern w:val="0"/>
          <w:sz w:val="44"/>
          <w:szCs w:val="44"/>
        </w:rPr>
        <w:t>北京市总工会</w:t>
      </w:r>
    </w:p>
    <w:p>
      <w:pPr>
        <w:spacing w:after="312" w:afterLines="100" w:line="560" w:lineRule="exact"/>
        <w:jc w:val="center"/>
        <w:rPr>
          <w:rFonts w:ascii="方正小标宋简体" w:hAnsi="Leelawadee UI" w:eastAsia="方正小标宋简体" w:cs="Leelawadee UI"/>
          <w:bCs/>
          <w:kern w:val="0"/>
          <w:sz w:val="44"/>
          <w:szCs w:val="44"/>
        </w:rPr>
      </w:pPr>
      <w:r>
        <w:rPr>
          <w:rFonts w:hint="eastAsia" w:ascii="方正小标宋简体" w:hAnsi="Leelawadee UI" w:eastAsia="方正小标宋简体" w:cs="Leelawadee UI"/>
          <w:bCs/>
          <w:kern w:val="0"/>
          <w:sz w:val="44"/>
          <w:szCs w:val="44"/>
        </w:rPr>
        <w:t>2023年政务云服务项目支出绩效评价报告</w:t>
      </w:r>
    </w:p>
    <w:p>
      <w:pPr>
        <w:spacing w:line="560" w:lineRule="exact"/>
        <w:ind w:firstLine="640" w:firstLineChars="200"/>
      </w:pPr>
      <w:r>
        <w:rPr>
          <w:rFonts w:hint="eastAsia" w:ascii="仿宋_GB2312" w:hAnsi="仿宋_GB2312" w:eastAsia="仿宋_GB2312" w:cs="仿宋_GB2312"/>
          <w:kern w:val="0"/>
          <w:sz w:val="32"/>
          <w:szCs w:val="32"/>
        </w:rPr>
        <w:t>为提高财政资金使用效益，优化公共财政资源配置。根据《中华人民共和国预算法》中共北京市委 北京市人民政府《关于全面实施预算绩效管理的实施意见》（京发〔2019〕12号）《北京市预算绩效管理办法》（京财绩效〔2019〕2129号）和《北京市项目支出绩效评价管理办法》（京财绩效〔2020〕2146号）等文件，北京市总工会（以下简称“市总工会”）按照北京市财政局《关于2024年预算绩效管理相关工作的函》部署要求，组建重点项目绩效评价工作组（以下简称“评价工作组”）</w:t>
      </w:r>
      <w:r>
        <w:rPr>
          <w:rFonts w:hint="eastAsia" w:ascii="仿宋_GB2312" w:hAnsi="仿宋_GB2312" w:eastAsia="仿宋_GB2312" w:cs="仿宋_GB2312"/>
          <w:kern w:val="0"/>
          <w:sz w:val="32"/>
          <w:szCs w:val="32"/>
          <w:lang w:eastAsia="zh-CN"/>
        </w:rPr>
        <w:t>，对北京市总工会</w:t>
      </w:r>
      <w:r>
        <w:rPr>
          <w:rFonts w:hint="eastAsia" w:ascii="仿宋_GB2312" w:hAnsi="仿宋_GB2312" w:eastAsia="仿宋_GB2312" w:cs="仿宋_GB2312"/>
          <w:kern w:val="0"/>
          <w:sz w:val="32"/>
          <w:szCs w:val="32"/>
          <w:lang w:val="en-US" w:eastAsia="zh-CN"/>
        </w:rPr>
        <w:t>网络工作</w:t>
      </w:r>
      <w:r>
        <w:rPr>
          <w:rFonts w:hint="eastAsia" w:ascii="仿宋_GB2312" w:hAnsi="仿宋_GB2312" w:eastAsia="仿宋_GB2312" w:cs="仿宋_GB2312"/>
          <w:kern w:val="0"/>
          <w:sz w:val="32"/>
          <w:szCs w:val="32"/>
          <w:lang w:eastAsia="zh-CN"/>
        </w:rPr>
        <w:t>部</w:t>
      </w:r>
      <w:r>
        <w:rPr>
          <w:rFonts w:hint="eastAsia" w:ascii="仿宋_GB2312" w:hAnsi="仿宋_GB2312" w:eastAsia="仿宋_GB2312" w:cs="仿宋_GB2312"/>
          <w:kern w:val="0"/>
          <w:sz w:val="32"/>
          <w:szCs w:val="32"/>
        </w:rPr>
        <w:t>（以下简称“</w:t>
      </w:r>
      <w:r>
        <w:rPr>
          <w:rFonts w:hint="eastAsia" w:ascii="仿宋_GB2312" w:hAnsi="仿宋_GB2312" w:eastAsia="仿宋_GB2312" w:cs="仿宋_GB2312"/>
          <w:kern w:val="0"/>
          <w:sz w:val="32"/>
          <w:szCs w:val="32"/>
          <w:lang w:val="en-US" w:eastAsia="zh-CN"/>
        </w:rPr>
        <w:t>网络工作部</w:t>
      </w:r>
      <w:r>
        <w:rPr>
          <w:rFonts w:hint="eastAsia" w:ascii="仿宋_GB2312" w:hAnsi="仿宋_GB2312" w:eastAsia="仿宋_GB2312" w:cs="仿宋_GB2312"/>
          <w:kern w:val="0"/>
          <w:sz w:val="32"/>
          <w:szCs w:val="32"/>
        </w:rPr>
        <w:t>”）负责实施的</w:t>
      </w:r>
      <w:r>
        <w:rPr>
          <w:rFonts w:hint="eastAsia" w:ascii="仿宋_GB2312" w:hAnsi="仿宋_GB2312" w:eastAsia="仿宋_GB2312" w:cs="仿宋_GB2312"/>
          <w:kern w:val="0"/>
          <w:sz w:val="32"/>
          <w:szCs w:val="32"/>
          <w:lang w:eastAsia="zh-Hans"/>
        </w:rPr>
        <w:t>“</w:t>
      </w:r>
      <w:r>
        <w:rPr>
          <w:rFonts w:hint="eastAsia" w:ascii="仿宋_GB2312" w:hAnsi="仿宋_GB2312" w:eastAsia="仿宋_GB2312" w:cs="仿宋_GB2312"/>
          <w:kern w:val="0"/>
          <w:sz w:val="32"/>
          <w:szCs w:val="32"/>
        </w:rPr>
        <w:t>2023年政务云服务</w:t>
      </w:r>
      <w:r>
        <w:rPr>
          <w:rFonts w:hint="eastAsia" w:ascii="仿宋_GB2312" w:hAnsi="仿宋_GB2312" w:eastAsia="仿宋_GB2312" w:cs="仿宋_GB2312"/>
          <w:kern w:val="0"/>
          <w:sz w:val="32"/>
          <w:szCs w:val="32"/>
          <w:lang w:eastAsia="zh-Hans"/>
        </w:rPr>
        <w:t>”</w:t>
      </w:r>
      <w:r>
        <w:rPr>
          <w:rFonts w:hint="eastAsia" w:ascii="仿宋_GB2312" w:hAnsi="仿宋_GB2312" w:eastAsia="仿宋_GB2312" w:cs="仿宋_GB2312"/>
          <w:kern w:val="0"/>
          <w:sz w:val="32"/>
          <w:szCs w:val="32"/>
        </w:rPr>
        <w:t>项目（以下简称“该项目”）的绩效情况实施评价，形成本报告。</w:t>
      </w:r>
    </w:p>
    <w:p>
      <w:pPr>
        <w:spacing w:line="560" w:lineRule="exact"/>
        <w:ind w:firstLine="643" w:firstLineChars="200"/>
        <w:outlineLvl w:val="0"/>
        <w:rPr>
          <w:rFonts w:ascii="黑体" w:hAnsi="黑体" w:eastAsia="黑体" w:cs="黑体"/>
          <w:b/>
          <w:bCs/>
          <w:sz w:val="32"/>
          <w:szCs w:val="32"/>
        </w:rPr>
      </w:pPr>
      <w:bookmarkStart w:id="0" w:name="_Toc18213"/>
      <w:bookmarkStart w:id="1" w:name="_Toc30445"/>
      <w:r>
        <w:rPr>
          <w:rFonts w:hint="eastAsia" w:ascii="黑体" w:hAnsi="黑体" w:eastAsia="黑体" w:cs="黑体"/>
          <w:b/>
          <w:bCs/>
          <w:sz w:val="32"/>
          <w:szCs w:val="32"/>
        </w:rPr>
        <w:t>一、基本情况</w:t>
      </w:r>
      <w:bookmarkEnd w:id="0"/>
      <w:bookmarkEnd w:id="1"/>
    </w:p>
    <w:p>
      <w:pPr>
        <w:spacing w:line="560" w:lineRule="exact"/>
        <w:ind w:firstLine="643" w:firstLineChars="200"/>
        <w:outlineLvl w:val="1"/>
        <w:rPr>
          <w:rFonts w:hint="eastAsia" w:ascii="楷体" w:hAnsi="楷体" w:eastAsia="楷体" w:cs="楷体"/>
          <w:b/>
          <w:bCs/>
          <w:sz w:val="32"/>
          <w:szCs w:val="32"/>
          <w:lang w:eastAsia="zh-CN"/>
        </w:rPr>
      </w:pPr>
      <w:bookmarkStart w:id="2" w:name="_Toc27599"/>
      <w:bookmarkStart w:id="3" w:name="_Toc8029"/>
      <w:r>
        <w:rPr>
          <w:rFonts w:hint="eastAsia" w:ascii="楷体" w:hAnsi="楷体" w:eastAsia="楷体" w:cs="楷体"/>
          <w:b/>
          <w:bCs/>
          <w:sz w:val="32"/>
          <w:szCs w:val="32"/>
        </w:rPr>
        <w:t>（一）项目</w:t>
      </w:r>
      <w:bookmarkEnd w:id="2"/>
      <w:r>
        <w:rPr>
          <w:rFonts w:hint="eastAsia" w:ascii="楷体" w:hAnsi="楷体" w:eastAsia="楷体" w:cs="楷体"/>
          <w:b/>
          <w:bCs/>
          <w:sz w:val="32"/>
          <w:szCs w:val="32"/>
          <w:lang w:val="en-US" w:eastAsia="zh-CN"/>
        </w:rPr>
        <w:t>概况</w:t>
      </w:r>
      <w:bookmarkEnd w:id="3"/>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1.项目背景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依据北京市经济和信息化局《关于加快政务信息系统入云工作的函》相关精神，市总工会已于20</w:t>
      </w:r>
      <w:r>
        <w:rPr>
          <w:rFonts w:hint="eastAsia" w:ascii="仿宋_GB2312" w:hAnsi="仿宋_GB2312" w:eastAsia="仿宋_GB2312" w:cs="仿宋_GB2312"/>
          <w:sz w:val="32"/>
          <w:szCs w:val="32"/>
          <w:lang w:val="en-US" w:eastAsia="zh-CN"/>
        </w:rPr>
        <w:t>18年</w:t>
      </w:r>
      <w:r>
        <w:rPr>
          <w:rFonts w:hint="eastAsia" w:ascii="仿宋_GB2312" w:hAnsi="仿宋_GB2312" w:eastAsia="仿宋_GB2312" w:cs="仿宋_GB2312"/>
          <w:sz w:val="32"/>
          <w:szCs w:val="32"/>
        </w:rPr>
        <w:t>完成业务系统入云部署迁移工作。2023年，根据《北京市市级政务云管理办法》中要求，为实现入云业务系统在政务云中的稳定运行，网络工作部继续申报已入云业务系统租用其他租赁服务采购项目的相关费用。该项目由北京市总工会网络工作部主要负责，北京市总工会综合服务中心协助项目实施。</w:t>
      </w:r>
    </w:p>
    <w:p>
      <w:pPr>
        <w:spacing w:line="560" w:lineRule="exact"/>
        <w:ind w:firstLine="643" w:firstLineChars="200"/>
        <w:outlineLvl w:val="2"/>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2.项目主要内容</w:t>
      </w:r>
      <w:r>
        <w:rPr>
          <w:rFonts w:hint="eastAsia" w:ascii="仿宋_GB2312" w:hAnsi="仿宋_GB2312" w:eastAsia="仿宋_GB2312" w:cs="仿宋_GB2312"/>
          <w:b/>
          <w:bCs/>
          <w:sz w:val="32"/>
          <w:szCs w:val="32"/>
          <w:lang w:val="en-US" w:eastAsia="zh-CN"/>
        </w:rPr>
        <w:t>及实施情况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通过政府购买第三方服务，继续维护已入云业务系统的正常稳定运行，完成入云系统的政务云服务续租工作，保障项目基础设施、软件硬件正常运转，为业务开展提供支撑。</w:t>
      </w:r>
    </w:p>
    <w:p>
      <w:pPr>
        <w:spacing w:line="56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项目资金情况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初</w:t>
      </w:r>
      <w:r>
        <w:rPr>
          <w:rFonts w:hint="eastAsia" w:ascii="仿宋_GB2312" w:hAnsi="仿宋_GB2312" w:eastAsia="仿宋_GB2312" w:cs="仿宋_GB2312"/>
          <w:sz w:val="32"/>
          <w:szCs w:val="32"/>
        </w:rPr>
        <w:t>，北京市财政局批复年初预算金额483.626037万元。</w:t>
      </w:r>
      <w:r>
        <w:rPr>
          <w:rFonts w:hint="eastAsia" w:ascii="仿宋_GB2312" w:hAnsi="仿宋_GB2312" w:eastAsia="仿宋_GB2312" w:cs="仿宋_GB2312"/>
          <w:sz w:val="32"/>
          <w:szCs w:val="32"/>
          <w:lang w:val="en-US" w:eastAsia="zh-CN"/>
        </w:rPr>
        <w:t>年中根据</w:t>
      </w:r>
      <w:r>
        <w:rPr>
          <w:rFonts w:hint="eastAsia" w:ascii="仿宋_GB2312" w:hAnsi="仿宋_GB2312" w:eastAsia="仿宋_GB2312" w:cs="仿宋_GB2312"/>
          <w:sz w:val="32"/>
          <w:szCs w:val="32"/>
        </w:rPr>
        <w:t>北京市财政局《关于核减2023年经费预算的函》（京财党政群指〔2023〕1604号），核减预算76.661655万元，2023全年预算数406.964382万元。截至2023年12月31日，实际支出金额406.964310万元，结余0.000072万元，预算执行率约等于100.00%。</w:t>
      </w:r>
    </w:p>
    <w:p>
      <w:pPr>
        <w:spacing w:line="560" w:lineRule="exact"/>
        <w:ind w:firstLine="643" w:firstLineChars="200"/>
        <w:outlineLvl w:val="1"/>
        <w:rPr>
          <w:rFonts w:ascii="楷体" w:hAnsi="楷体" w:eastAsia="楷体" w:cs="楷体"/>
          <w:b/>
          <w:bCs/>
          <w:sz w:val="32"/>
          <w:szCs w:val="32"/>
        </w:rPr>
      </w:pPr>
      <w:bookmarkStart w:id="4" w:name="_Toc32644"/>
      <w:bookmarkStart w:id="5" w:name="_Toc26119"/>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）项目绩效目标</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宋体" w:eastAsia="仿宋_GB2312"/>
          <w:b/>
          <w:bCs/>
          <w:sz w:val="32"/>
          <w:szCs w:val="32"/>
          <w:lang w:eastAsia="zh-CN"/>
        </w:rPr>
      </w:pPr>
      <w:r>
        <w:rPr>
          <w:rFonts w:hint="eastAsia" w:ascii="仿宋_GB2312" w:hAnsi="宋体" w:eastAsia="仿宋_GB2312"/>
          <w:b/>
          <w:bCs/>
          <w:sz w:val="32"/>
          <w:szCs w:val="32"/>
        </w:rPr>
        <w:t>1.</w:t>
      </w:r>
      <w:r>
        <w:rPr>
          <w:rFonts w:hint="eastAsia" w:ascii="仿宋_GB2312" w:hAnsi="宋体" w:eastAsia="仿宋_GB2312"/>
          <w:b/>
          <w:bCs/>
          <w:sz w:val="32"/>
          <w:szCs w:val="32"/>
          <w:lang w:val="en-US" w:eastAsia="zh-CN"/>
        </w:rPr>
        <w:t>年度目标</w:t>
      </w:r>
    </w:p>
    <w:p>
      <w:pPr>
        <w:pStyle w:val="18"/>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（1）完成已入云业务系统的正常稳定运行及云资源、云服务租用工作。</w:t>
      </w:r>
    </w:p>
    <w:p>
      <w:pPr>
        <w:pStyle w:val="18"/>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（2）保障项目基础设施、软件硬件正常运转，为业务开展提供支撑。</w:t>
      </w:r>
    </w:p>
    <w:p>
      <w:pPr>
        <w:pStyle w:val="18"/>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（3）完成入云系统的政务云服务续租工作。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ascii="仿宋_GB2312" w:eastAsia="仿宋_GB2312"/>
          <w:b/>
          <w:bCs/>
          <w:sz w:val="32"/>
          <w:szCs w:val="32"/>
        </w:rPr>
      </w:pPr>
      <w:r>
        <w:rPr>
          <w:rFonts w:hint="eastAsia" w:ascii="仿宋_GB2312" w:eastAsia="仿宋_GB2312"/>
          <w:b/>
          <w:bCs/>
          <w:sz w:val="32"/>
          <w:szCs w:val="32"/>
        </w:rPr>
        <w:t>2.绩效指标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 w:eastAsia="仿宋_GB2312" w:cs="DejaVu Sans"/>
          <w:bCs/>
          <w:sz w:val="32"/>
          <w:szCs w:val="32"/>
        </w:rPr>
      </w:pP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lang w:val="en-US" w:eastAsia="zh-CN"/>
        </w:rPr>
        <w:t>1</w:t>
      </w: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rPr>
        <w:t>数量指标：租用政务云云主机数量=301台；</w:t>
      </w:r>
    </w:p>
    <w:p>
      <w:pPr>
        <w:pStyle w:val="18"/>
        <w:keepNext w:val="0"/>
        <w:keepLines w:val="0"/>
        <w:pageBreakBefore w:val="0"/>
        <w:widowControl w:val="0"/>
        <w:kinsoku/>
        <w:wordWrap/>
        <w:overflowPunct/>
        <w:topLinePunct w:val="0"/>
        <w:autoSpaceDE/>
        <w:autoSpaceDN/>
        <w:bidi w:val="0"/>
        <w:adjustRightInd/>
        <w:snapToGrid/>
        <w:spacing w:before="0" w:line="560" w:lineRule="exact"/>
        <w:ind w:left="0" w:firstLine="640" w:firstLineChars="200"/>
        <w:textAlignment w:val="auto"/>
        <w:outlineLvl w:val="9"/>
        <w:rPr>
          <w:bCs/>
          <w:sz w:val="32"/>
          <w:szCs w:val="32"/>
        </w:rPr>
      </w:pPr>
      <w:r>
        <w:rPr>
          <w:rFonts w:hint="eastAsia" w:ascii="仿宋_GB2312" w:eastAsia="仿宋_GB2312" w:cs="DejaVu Sans"/>
          <w:bCs/>
          <w:sz w:val="32"/>
          <w:szCs w:val="32"/>
          <w:lang w:eastAsia="zh-CN"/>
        </w:rPr>
        <w:t>（</w:t>
      </w:r>
      <w:r>
        <w:rPr>
          <w:rFonts w:hint="eastAsia" w:ascii="仿宋_GB2312" w:eastAsia="仿宋_GB2312" w:cs="DejaVu Sans"/>
          <w:bCs/>
          <w:sz w:val="32"/>
          <w:szCs w:val="32"/>
          <w:lang w:val="en-US" w:eastAsia="zh-CN"/>
        </w:rPr>
        <w:t>2</w:t>
      </w:r>
      <w:r>
        <w:rPr>
          <w:rFonts w:hint="eastAsia" w:ascii="仿宋_GB2312" w:eastAsia="仿宋_GB2312" w:cs="DejaVu Sans"/>
          <w:bCs/>
          <w:sz w:val="32"/>
          <w:szCs w:val="32"/>
          <w:lang w:eastAsia="zh-CN"/>
        </w:rPr>
        <w:t>）</w:t>
      </w:r>
      <w:r>
        <w:rPr>
          <w:rFonts w:hint="eastAsia" w:ascii="仿宋_GB2312" w:eastAsia="仿宋_GB2312" w:cs="DejaVu Sans"/>
          <w:bCs/>
          <w:sz w:val="32"/>
          <w:szCs w:val="32"/>
        </w:rPr>
        <w:t>质量指标：系统正常运行率≥99.99%；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bCs/>
          <w:sz w:val="32"/>
          <w:szCs w:val="32"/>
        </w:rPr>
      </w:pP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lang w:val="en-US" w:eastAsia="zh-CN"/>
        </w:rPr>
        <w:t>3</w:t>
      </w: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rPr>
        <w:t>时效指标：验收时间≤12月；</w:t>
      </w:r>
      <w:r>
        <w:rPr>
          <w:rFonts w:hint="eastAsia" w:ascii="仿宋_GB2312" w:eastAsia="仿宋_GB2312" w:cs="DejaVu Sans"/>
          <w:bCs/>
          <w:sz w:val="32"/>
          <w:szCs w:val="32"/>
        </w:rPr>
        <w:t>项目预算控制数≤483.626037万元；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 w:eastAsia="仿宋_GB2312" w:cs="DejaVu Sans"/>
          <w:bCs/>
          <w:sz w:val="32"/>
          <w:szCs w:val="32"/>
        </w:rPr>
      </w:pP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lang w:val="en-US" w:eastAsia="zh-CN"/>
        </w:rPr>
        <w:t>4</w:t>
      </w: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rPr>
        <w:t>社会效益指标：集约化资源能力进一步提升；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 w:eastAsia="仿宋_GB2312" w:cs="DejaVu Sans"/>
          <w:bCs/>
          <w:sz w:val="32"/>
          <w:szCs w:val="32"/>
        </w:rPr>
      </w:pP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lang w:val="en-US" w:eastAsia="zh-CN"/>
        </w:rPr>
        <w:t>5</w:t>
      </w:r>
      <w:r>
        <w:rPr>
          <w:rFonts w:hint="eastAsia" w:ascii="仿宋_GB2312" w:hAnsi="仿宋" w:eastAsia="仿宋_GB2312" w:cs="DejaVu Sans"/>
          <w:bCs/>
          <w:sz w:val="32"/>
          <w:szCs w:val="32"/>
          <w:lang w:eastAsia="zh-CN"/>
        </w:rPr>
        <w:t>）</w:t>
      </w:r>
      <w:r>
        <w:rPr>
          <w:rFonts w:hint="eastAsia" w:ascii="仿宋_GB2312" w:hAnsi="仿宋" w:eastAsia="仿宋_GB2312" w:cs="DejaVu Sans"/>
          <w:bCs/>
          <w:sz w:val="32"/>
          <w:szCs w:val="32"/>
        </w:rPr>
        <w:t>服务对象满意度指标：使用人员满意。</w:t>
      </w:r>
    </w:p>
    <w:p>
      <w:pPr>
        <w:spacing w:line="560" w:lineRule="exact"/>
        <w:ind w:firstLine="643" w:firstLineChars="200"/>
        <w:outlineLvl w:val="0"/>
        <w:rPr>
          <w:rFonts w:ascii="黑体" w:hAnsi="黑体" w:eastAsia="黑体" w:cs="黑体"/>
          <w:b/>
          <w:bCs/>
          <w:sz w:val="32"/>
          <w:szCs w:val="32"/>
        </w:rPr>
      </w:pPr>
      <w:bookmarkStart w:id="6" w:name="_Toc20439"/>
      <w:bookmarkStart w:id="7" w:name="_Toc30278"/>
      <w:bookmarkStart w:id="8" w:name="_Toc14029"/>
      <w:r>
        <w:rPr>
          <w:rFonts w:hint="eastAsia" w:ascii="黑体" w:hAnsi="黑体" w:eastAsia="黑体" w:cs="黑体"/>
          <w:b/>
          <w:bCs/>
          <w:sz w:val="32"/>
          <w:szCs w:val="32"/>
        </w:rPr>
        <w:t>二、绩效评价工作开展情况</w:t>
      </w:r>
      <w:bookmarkEnd w:id="6"/>
      <w:bookmarkEnd w:id="7"/>
      <w:bookmarkEnd w:id="8"/>
    </w:p>
    <w:p>
      <w:pPr>
        <w:spacing w:line="560" w:lineRule="exact"/>
        <w:ind w:firstLine="643" w:firstLineChars="200"/>
        <w:outlineLvl w:val="1"/>
        <w:rPr>
          <w:rFonts w:ascii="楷体" w:hAnsi="楷体" w:eastAsia="楷体" w:cs="楷体"/>
          <w:b/>
          <w:bCs/>
          <w:sz w:val="32"/>
          <w:szCs w:val="32"/>
        </w:rPr>
      </w:pPr>
      <w:bookmarkStart w:id="9" w:name="_Toc27711"/>
      <w:bookmarkStart w:id="10" w:name="_Toc28964"/>
      <w:bookmarkStart w:id="11" w:name="_Toc10337"/>
      <w:r>
        <w:rPr>
          <w:rFonts w:hint="eastAsia" w:ascii="楷体" w:hAnsi="楷体" w:eastAsia="楷体" w:cs="楷体"/>
          <w:b/>
          <w:bCs/>
          <w:sz w:val="32"/>
          <w:szCs w:val="32"/>
        </w:rPr>
        <w:t>（一）绩效评价目的、对象和范围</w:t>
      </w:r>
      <w:bookmarkEnd w:id="9"/>
      <w:bookmarkEnd w:id="10"/>
      <w:bookmarkEnd w:id="11"/>
    </w:p>
    <w:p>
      <w:pPr>
        <w:spacing w:line="560" w:lineRule="exact"/>
        <w:ind w:firstLine="643" w:firstLineChars="200"/>
        <w:rPr>
          <w:rFonts w:ascii="仿宋_GB2312" w:hAnsi="仿宋_GB2312" w:eastAsia="仿宋_GB2312" w:cs="仿宋_GB2312"/>
          <w:b/>
          <w:bCs/>
          <w:sz w:val="32"/>
        </w:rPr>
      </w:pPr>
      <w:bookmarkStart w:id="12" w:name="_Toc72129830"/>
      <w:bookmarkStart w:id="13" w:name="_Toc73028722"/>
      <w:bookmarkStart w:id="14" w:name="_Toc72117815"/>
      <w:bookmarkStart w:id="15" w:name="_Toc20104"/>
      <w:r>
        <w:rPr>
          <w:rFonts w:hint="eastAsia" w:ascii="仿宋_GB2312" w:hAnsi="仿宋_GB2312" w:eastAsia="仿宋_GB2312" w:cs="仿宋_GB2312"/>
          <w:b/>
          <w:bCs/>
          <w:sz w:val="32"/>
        </w:rPr>
        <w:t>1.评价目的</w:t>
      </w:r>
      <w:bookmarkEnd w:id="12"/>
      <w:bookmarkEnd w:id="13"/>
      <w:bookmarkEnd w:id="14"/>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通过开展项目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w:t>
      </w:r>
    </w:p>
    <w:p>
      <w:pPr>
        <w:spacing w:line="560" w:lineRule="exact"/>
        <w:ind w:firstLine="643" w:firstLineChars="200"/>
        <w:rPr>
          <w:rFonts w:ascii="仿宋_GB2312" w:hAnsi="仿宋_GB2312" w:eastAsia="仿宋_GB2312" w:cs="仿宋_GB2312"/>
          <w:b/>
          <w:bCs/>
          <w:sz w:val="32"/>
        </w:rPr>
      </w:pPr>
      <w:bookmarkStart w:id="16" w:name="_Toc73028723"/>
      <w:bookmarkStart w:id="17" w:name="_Toc72117816"/>
      <w:bookmarkStart w:id="18" w:name="_Toc72129831"/>
      <w:r>
        <w:rPr>
          <w:rFonts w:hint="eastAsia" w:ascii="仿宋_GB2312" w:hAnsi="仿宋_GB2312" w:eastAsia="仿宋_GB2312" w:cs="仿宋_GB2312"/>
          <w:b/>
          <w:bCs/>
          <w:sz w:val="32"/>
        </w:rPr>
        <w:t>2.评价对象和范围</w:t>
      </w:r>
      <w:bookmarkEnd w:id="16"/>
      <w:bookmarkEnd w:id="17"/>
      <w:bookmarkEnd w:id="18"/>
    </w:p>
    <w:bookmarkEnd w:id="15"/>
    <w:p>
      <w:pPr>
        <w:spacing w:line="560" w:lineRule="exact"/>
        <w:ind w:firstLine="640" w:firstLineChars="200"/>
        <w:rPr>
          <w:rFonts w:ascii="仿宋_GB2312" w:hAnsi="楷体" w:eastAsia="仿宋_GB2312"/>
          <w:bCs/>
          <w:kern w:val="0"/>
          <w:sz w:val="32"/>
          <w:szCs w:val="28"/>
        </w:rPr>
      </w:pPr>
      <w:bookmarkStart w:id="19" w:name="_Toc30858"/>
      <w:r>
        <w:rPr>
          <w:rFonts w:hint="eastAsia" w:ascii="仿宋_GB2312" w:hAnsi="楷体" w:eastAsia="仿宋_GB2312"/>
          <w:bCs/>
          <w:kern w:val="0"/>
          <w:sz w:val="32"/>
          <w:szCs w:val="28"/>
        </w:rPr>
        <w:t>对</w:t>
      </w:r>
      <w:r>
        <w:rPr>
          <w:rFonts w:hint="eastAsia" w:ascii="仿宋_GB2312" w:hAnsi="宋体" w:eastAsia="仿宋_GB2312"/>
          <w:bCs/>
          <w:kern w:val="0"/>
          <w:sz w:val="32"/>
          <w:szCs w:val="28"/>
        </w:rPr>
        <w:t>2023年政务云服务项目</w:t>
      </w:r>
      <w:r>
        <w:rPr>
          <w:rFonts w:hint="eastAsia" w:ascii="仿宋_GB2312" w:hAnsi="仿宋_GB2312" w:eastAsia="仿宋_GB2312" w:cs="仿宋_GB2312"/>
          <w:sz w:val="32"/>
          <w:szCs w:val="32"/>
        </w:rPr>
        <w:t>406.964382</w:t>
      </w:r>
      <w:r>
        <w:rPr>
          <w:rFonts w:hint="eastAsia" w:ascii="仿宋_GB2312" w:eastAsia="仿宋_GB2312" w:cs="宋体"/>
          <w:kern w:val="0"/>
          <w:sz w:val="32"/>
          <w:szCs w:val="32"/>
        </w:rPr>
        <w:t>万元的</w:t>
      </w:r>
      <w:r>
        <w:rPr>
          <w:rFonts w:hint="eastAsia" w:ascii="仿宋_GB2312" w:hAnsi="楷体" w:eastAsia="仿宋_GB2312"/>
          <w:bCs/>
          <w:kern w:val="0"/>
          <w:sz w:val="32"/>
          <w:szCs w:val="28"/>
        </w:rPr>
        <w:t>资金支出情况开展绩效评价。</w:t>
      </w:r>
    </w:p>
    <w:p>
      <w:pPr>
        <w:spacing w:line="560" w:lineRule="exact"/>
        <w:ind w:firstLine="643" w:firstLineChars="200"/>
        <w:outlineLvl w:val="1"/>
        <w:rPr>
          <w:rFonts w:hint="eastAsia" w:ascii="楷体" w:hAnsi="楷体" w:eastAsia="楷体" w:cs="楷体"/>
          <w:b/>
          <w:bCs/>
          <w:sz w:val="32"/>
          <w:szCs w:val="32"/>
          <w:lang w:eastAsia="zh-CN"/>
        </w:rPr>
      </w:pPr>
      <w:bookmarkStart w:id="20" w:name="_Toc29047"/>
      <w:bookmarkStart w:id="21" w:name="_Toc23524"/>
      <w:bookmarkStart w:id="22" w:name="_Toc73028725"/>
      <w:r>
        <w:rPr>
          <w:rFonts w:hint="eastAsia" w:ascii="楷体" w:hAnsi="楷体" w:eastAsia="楷体" w:cs="楷体"/>
          <w:b/>
          <w:bCs/>
          <w:sz w:val="32"/>
          <w:szCs w:val="32"/>
        </w:rPr>
        <w:t>（二）</w:t>
      </w:r>
      <w:r>
        <w:rPr>
          <w:rFonts w:hint="eastAsia" w:ascii="楷体" w:hAnsi="楷体" w:eastAsia="楷体"/>
          <w:b/>
          <w:bCs/>
          <w:kern w:val="0"/>
          <w:sz w:val="32"/>
          <w:szCs w:val="28"/>
        </w:rPr>
        <w:t>绩效评价</w:t>
      </w:r>
      <w:bookmarkEnd w:id="20"/>
      <w:r>
        <w:rPr>
          <w:rFonts w:hint="eastAsia" w:ascii="楷体" w:hAnsi="楷体" w:eastAsia="楷体"/>
          <w:b/>
          <w:bCs/>
          <w:kern w:val="0"/>
          <w:sz w:val="32"/>
          <w:szCs w:val="28"/>
          <w:lang w:val="en-US" w:eastAsia="zh-CN"/>
        </w:rPr>
        <w:t>基本情况</w:t>
      </w:r>
      <w:bookmarkEnd w:id="21"/>
    </w:p>
    <w:p>
      <w:pPr>
        <w:spacing w:line="560" w:lineRule="exact"/>
        <w:ind w:firstLine="643" w:firstLineChars="200"/>
        <w:rPr>
          <w:rFonts w:ascii="仿宋_GB2312" w:hAnsi="仿宋_GB2312" w:eastAsia="仿宋_GB2312" w:cs="仿宋_GB2312"/>
          <w:b/>
          <w:bCs/>
          <w:sz w:val="32"/>
        </w:rPr>
      </w:pPr>
      <w:r>
        <w:rPr>
          <w:rFonts w:hint="eastAsia" w:ascii="仿宋_GB2312" w:hAnsi="仿宋_GB2312" w:eastAsia="仿宋_GB2312" w:cs="仿宋_GB2312"/>
          <w:b/>
          <w:bCs/>
          <w:sz w:val="32"/>
        </w:rPr>
        <w:t>1.绩效评价原则及方法</w:t>
      </w:r>
      <w:bookmarkEnd w:id="22"/>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本次绩效评价遵循“客观、公正、科学、规范”的原则，结合项目的特点，采用比较法、因素分析法、专家评议法等方法，通过定性与定量相结合，从项目决策、项目过程、项目产出、项目效益四个方面对本项目开展绩效评价。</w:t>
      </w:r>
    </w:p>
    <w:p>
      <w:pPr>
        <w:spacing w:line="560" w:lineRule="exact"/>
        <w:ind w:firstLine="643" w:firstLineChars="200"/>
        <w:rPr>
          <w:rFonts w:ascii="仿宋_GB2312" w:hAnsi="仿宋_GB2312" w:eastAsia="仿宋_GB2312" w:cs="仿宋_GB2312"/>
          <w:b/>
          <w:bCs/>
          <w:sz w:val="32"/>
        </w:rPr>
      </w:pPr>
      <w:bookmarkStart w:id="23" w:name="_Toc73028726"/>
      <w:r>
        <w:rPr>
          <w:rFonts w:hint="eastAsia" w:ascii="仿宋_GB2312" w:hAnsi="仿宋_GB2312" w:eastAsia="仿宋_GB2312" w:cs="仿宋_GB2312"/>
          <w:b/>
          <w:bCs/>
          <w:sz w:val="32"/>
        </w:rPr>
        <w:t>2.绩效评价指标体系</w:t>
      </w:r>
      <w:bookmarkEnd w:id="23"/>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绩效评价指标体系主要包括项目决策、项目过程、项目产出、项目效益四个方面，满分100分。决策指标（</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0分），主要评价项目立项、绩效目标和资金投入内容；过程指标（20分），主要评价项目资金管理和组织实施内容；产出指标（</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0分），主要评价项目产出数量、产出质量、产出时效和产出成本；效益指标（30分），主要评价项目实施效益和服务对象满意度内容。绩效评价指标体系详见附件。</w:t>
      </w:r>
    </w:p>
    <w:p>
      <w:pPr>
        <w:spacing w:line="560" w:lineRule="exact"/>
        <w:ind w:firstLine="643" w:firstLineChars="200"/>
        <w:rPr>
          <w:rFonts w:ascii="仿宋_GB2312" w:hAnsi="仿宋_GB2312" w:eastAsia="仿宋_GB2312" w:cs="仿宋_GB2312"/>
          <w:b/>
          <w:bCs/>
          <w:sz w:val="32"/>
        </w:rPr>
      </w:pPr>
      <w:bookmarkStart w:id="24" w:name="_Toc73028727"/>
      <w:r>
        <w:rPr>
          <w:rFonts w:hint="eastAsia" w:ascii="仿宋_GB2312" w:hAnsi="仿宋_GB2312" w:eastAsia="仿宋_GB2312" w:cs="仿宋_GB2312"/>
          <w:b/>
          <w:bCs/>
          <w:sz w:val="32"/>
        </w:rPr>
        <w:t>3.评价标准</w:t>
      </w:r>
      <w:bookmarkEnd w:id="24"/>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本次绩效评价标准为计划标准，以该项目预先制定的项目绩效目标、计划、预算作为评价标准，对绩效指标完成情况进行比较</w:t>
      </w:r>
      <w:r>
        <w:rPr>
          <w:rFonts w:hint="eastAsia" w:ascii="仿宋_GB2312" w:hAnsi="仿宋_GB2312" w:eastAsia="仿宋_GB2312" w:cs="仿宋_GB2312"/>
          <w:sz w:val="32"/>
          <w:lang w:val="en-US" w:eastAsia="zh-CN"/>
        </w:rPr>
        <w:t>分析</w:t>
      </w:r>
      <w:r>
        <w:rPr>
          <w:rFonts w:hint="eastAsia" w:ascii="仿宋_GB2312" w:hAnsi="仿宋_GB2312" w:eastAsia="仿宋_GB2312" w:cs="仿宋_GB2312"/>
          <w:sz w:val="32"/>
        </w:rPr>
        <w:t>。</w:t>
      </w:r>
    </w:p>
    <w:bookmarkEnd w:id="19"/>
    <w:p>
      <w:pPr>
        <w:spacing w:line="560" w:lineRule="exact"/>
        <w:ind w:firstLine="643" w:firstLineChars="200"/>
        <w:outlineLvl w:val="1"/>
        <w:rPr>
          <w:rFonts w:ascii="楷体" w:hAnsi="楷体" w:eastAsia="楷体" w:cs="楷体"/>
          <w:b/>
          <w:bCs/>
          <w:sz w:val="32"/>
          <w:szCs w:val="32"/>
        </w:rPr>
      </w:pPr>
      <w:bookmarkStart w:id="25" w:name="_Toc12971"/>
      <w:bookmarkStart w:id="26" w:name="_Toc1849"/>
      <w:bookmarkStart w:id="27" w:name="_Toc10278"/>
      <w:r>
        <w:rPr>
          <w:rFonts w:hint="eastAsia" w:ascii="楷体" w:hAnsi="楷体" w:eastAsia="楷体" w:cs="楷体"/>
          <w:b/>
          <w:bCs/>
          <w:sz w:val="32"/>
          <w:szCs w:val="32"/>
        </w:rPr>
        <w:t>（三）绩效评价工作过程</w:t>
      </w:r>
      <w:bookmarkEnd w:id="25"/>
      <w:bookmarkEnd w:id="26"/>
      <w:bookmarkEnd w:id="27"/>
    </w:p>
    <w:p>
      <w:pPr>
        <w:spacing w:line="560" w:lineRule="exact"/>
        <w:ind w:firstLine="640" w:firstLineChars="200"/>
        <w:rPr>
          <w:rFonts w:eastAsia="仿宋_GB2312"/>
          <w:kern w:val="0"/>
          <w:sz w:val="32"/>
          <w:szCs w:val="32"/>
        </w:rPr>
      </w:pPr>
      <w:r>
        <w:rPr>
          <w:rFonts w:hint="eastAsia" w:ascii="仿宋_GB2312" w:hAnsi="楷体" w:eastAsia="仿宋_GB2312"/>
          <w:bCs/>
          <w:kern w:val="0"/>
          <w:sz w:val="32"/>
          <w:szCs w:val="28"/>
        </w:rPr>
        <w:t>1.成立绩效评价工作组。</w:t>
      </w:r>
      <w:r>
        <w:rPr>
          <w:rFonts w:eastAsia="仿宋_GB2312"/>
          <w:kern w:val="0"/>
          <w:sz w:val="32"/>
          <w:szCs w:val="32"/>
        </w:rPr>
        <w:t>按照</w:t>
      </w:r>
      <w:r>
        <w:rPr>
          <w:rFonts w:hint="eastAsia" w:ascii="仿宋_GB2312" w:hAnsi="仿宋_GB2312" w:eastAsia="仿宋_GB2312" w:cs="仿宋_GB2312"/>
          <w:kern w:val="0"/>
          <w:sz w:val="32"/>
          <w:szCs w:val="32"/>
        </w:rPr>
        <w:t>北京市财政局《关于2024年预算绩效管理相关工作的函</w:t>
      </w:r>
      <w:r>
        <w:rPr>
          <w:rFonts w:eastAsia="仿宋_GB2312"/>
          <w:kern w:val="0"/>
          <w:sz w:val="32"/>
          <w:szCs w:val="32"/>
        </w:rPr>
        <w:t>》文件要求部署全面</w:t>
      </w:r>
      <w:r>
        <w:rPr>
          <w:rFonts w:hint="eastAsia" w:eastAsia="仿宋_GB2312"/>
          <w:kern w:val="0"/>
          <w:sz w:val="32"/>
          <w:szCs w:val="32"/>
          <w:lang w:val="en-US" w:eastAsia="zh-CN"/>
        </w:rPr>
        <w:t>开展绩效</w:t>
      </w:r>
      <w:r>
        <w:rPr>
          <w:rFonts w:eastAsia="仿宋_GB2312"/>
          <w:kern w:val="0"/>
          <w:sz w:val="32"/>
          <w:szCs w:val="32"/>
        </w:rPr>
        <w:t>自评，抽取部门履职的重大事业发展项目开展重点评价，组成评价领导小组，各项目实施部门负责人为成员，明确每名成员的职责及分工，并邀请专业机构进行必要的针对性指导</w:t>
      </w:r>
      <w:r>
        <w:rPr>
          <w:rFonts w:hint="eastAsia" w:eastAsia="仿宋_GB2312"/>
          <w:kern w:val="0"/>
          <w:sz w:val="32"/>
          <w:szCs w:val="32"/>
        </w:rPr>
        <w:t>。</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2.收集项目资料。项目实施部门根据部门评价资料清单，结合评价对象实际情况收集项目资料。项目实施部门将收集的资料及绩效报告提交评价工作组。</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评价工作组对所收集资料进行核实和全面分析，并遴选专家，组成专家评价组。会同专家细化评价指标，制定绩效评价指标体系。</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4.补充完善资料。项目实施部门根据评价工作组的意见，补充绩效评价资料。</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5.召开专家评价会。评价工作组组织召开专家评价会</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项目实施部门负责项目绩效情况汇报及答疑，由专家对绩效实现情况进行评价和打分，并出具评价意见。</w:t>
      </w:r>
    </w:p>
    <w:p>
      <w:pPr>
        <w:spacing w:line="560" w:lineRule="exact"/>
        <w:ind w:firstLine="640" w:firstLineChars="200"/>
        <w:rPr>
          <w:rFonts w:eastAsia="仿宋_GB2312"/>
          <w:kern w:val="0"/>
          <w:sz w:val="32"/>
          <w:szCs w:val="32"/>
        </w:rPr>
      </w:pPr>
      <w:r>
        <w:rPr>
          <w:rFonts w:hint="eastAsia" w:ascii="仿宋_GB2312" w:hAnsi="楷体" w:eastAsia="仿宋_GB2312"/>
          <w:bCs/>
          <w:kern w:val="0"/>
          <w:sz w:val="32"/>
          <w:szCs w:val="28"/>
        </w:rPr>
        <w:t>6.完成绩效评价报告。</w:t>
      </w:r>
      <w:r>
        <w:rPr>
          <w:rFonts w:eastAsia="仿宋_GB2312"/>
          <w:kern w:val="0"/>
          <w:sz w:val="32"/>
          <w:szCs w:val="32"/>
        </w:rPr>
        <w:t>评价工作组在专家评价会结束后，汇总专家打分，确定绩效评价级别。结合专家评价意见，撰写并形成正式绩效评价报告。</w:t>
      </w:r>
    </w:p>
    <w:p>
      <w:pPr>
        <w:spacing w:line="560" w:lineRule="exact"/>
        <w:ind w:firstLine="643" w:firstLineChars="200"/>
        <w:outlineLvl w:val="0"/>
        <w:rPr>
          <w:rFonts w:ascii="黑体" w:hAnsi="黑体" w:eastAsia="黑体" w:cs="黑体"/>
          <w:b/>
          <w:bCs/>
          <w:sz w:val="32"/>
          <w:szCs w:val="32"/>
        </w:rPr>
      </w:pPr>
      <w:bookmarkStart w:id="28" w:name="_Toc30712"/>
      <w:bookmarkStart w:id="29" w:name="_Toc2465"/>
      <w:r>
        <w:rPr>
          <w:rFonts w:hint="eastAsia" w:ascii="黑体" w:hAnsi="黑体" w:eastAsia="黑体" w:cs="黑体"/>
          <w:b/>
          <w:bCs/>
          <w:sz w:val="32"/>
          <w:szCs w:val="32"/>
        </w:rPr>
        <w:t>三、综合评价情况及评价结论</w:t>
      </w:r>
      <w:bookmarkEnd w:id="28"/>
      <w:bookmarkEnd w:id="29"/>
    </w:p>
    <w:p>
      <w:pPr>
        <w:spacing w:line="560" w:lineRule="exact"/>
        <w:ind w:firstLine="640" w:firstLineChars="200"/>
        <w:rPr>
          <w:rFonts w:ascii="仿宋_GB2312" w:hAnsi="仿宋_GB2312" w:eastAsia="仿宋_GB2312" w:cs="仿宋_GB2312"/>
          <w:sz w:val="32"/>
        </w:rPr>
      </w:pPr>
      <w:bookmarkStart w:id="30" w:name="_Toc665559475"/>
      <w:bookmarkStart w:id="31" w:name="_Hlk103632434"/>
      <w:r>
        <w:rPr>
          <w:rFonts w:hint="eastAsia" w:ascii="仿宋_GB2312" w:hAnsi="仿宋_GB2312" w:eastAsia="仿宋_GB2312" w:cs="仿宋_GB2312"/>
          <w:sz w:val="32"/>
        </w:rPr>
        <w:t>经专家综合评价，该项目绩效评价综合得分86.90分，绩效评价结论等级为“良”。其中，项目决策得分16.70分、项目过程得分17.90分、项目产出得分28.50分，项目效益得分23.80分。</w:t>
      </w:r>
    </w:p>
    <w:p>
      <w:pPr>
        <w:jc w:val="center"/>
        <w:rPr>
          <w:rFonts w:ascii="仿宋_GB2312" w:eastAsia="仿宋_GB2312"/>
          <w:bCs/>
          <w:sz w:val="32"/>
          <w:szCs w:val="32"/>
        </w:rPr>
      </w:pPr>
      <w:r>
        <w:rPr>
          <w:rFonts w:hint="eastAsia" w:eastAsia="仿宋_GB2312"/>
          <w:b/>
          <w:sz w:val="32"/>
          <w:szCs w:val="32"/>
        </w:rPr>
        <w:t>项目绩效评价结论一览表</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3745"/>
        <w:gridCol w:w="1933"/>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482" w:hRule="atLeast"/>
          <w:tblHeader/>
        </w:trPr>
        <w:tc>
          <w:tcPr>
            <w:tcW w:w="2198" w:type="pct"/>
            <w:shd w:val="clear" w:color="000000" w:fill="auto"/>
            <w:vAlign w:val="center"/>
          </w:tcPr>
          <w:p>
            <w:pPr>
              <w:widowControl/>
              <w:spacing w:line="500" w:lineRule="exact"/>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评价内容</w:t>
            </w:r>
          </w:p>
        </w:tc>
        <w:tc>
          <w:tcPr>
            <w:tcW w:w="1134" w:type="pct"/>
            <w:shd w:val="clear" w:color="000000" w:fill="auto"/>
            <w:vAlign w:val="center"/>
          </w:tcPr>
          <w:p>
            <w:pPr>
              <w:widowControl/>
              <w:spacing w:line="500" w:lineRule="exact"/>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分值</w:t>
            </w:r>
          </w:p>
        </w:tc>
        <w:tc>
          <w:tcPr>
            <w:tcW w:w="1666" w:type="pct"/>
            <w:shd w:val="clear" w:color="000000" w:fill="auto"/>
            <w:vAlign w:val="center"/>
          </w:tcPr>
          <w:p>
            <w:pPr>
              <w:widowControl/>
              <w:spacing w:line="500" w:lineRule="exact"/>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98"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项目决策</w:t>
            </w:r>
          </w:p>
        </w:tc>
        <w:tc>
          <w:tcPr>
            <w:tcW w:w="1134"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bidi="ar"/>
              </w:rPr>
              <w:t>2</w:t>
            </w:r>
            <w:r>
              <w:rPr>
                <w:rFonts w:hint="eastAsia" w:ascii="仿宋_GB2312" w:hAnsi="仿宋_GB2312" w:eastAsia="仿宋_GB2312" w:cs="仿宋_GB2312"/>
                <w:kern w:val="0"/>
                <w:sz w:val="28"/>
                <w:szCs w:val="28"/>
                <w:lang w:bidi="ar"/>
              </w:rPr>
              <w:t>0.00</w:t>
            </w:r>
          </w:p>
        </w:tc>
        <w:tc>
          <w:tcPr>
            <w:tcW w:w="1666"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98"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项目过程</w:t>
            </w:r>
          </w:p>
        </w:tc>
        <w:tc>
          <w:tcPr>
            <w:tcW w:w="1134"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bidi="ar"/>
              </w:rPr>
              <w:t>20.00</w:t>
            </w:r>
          </w:p>
        </w:tc>
        <w:tc>
          <w:tcPr>
            <w:tcW w:w="1666"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98"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项目产出</w:t>
            </w:r>
          </w:p>
        </w:tc>
        <w:tc>
          <w:tcPr>
            <w:tcW w:w="1134"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bidi="ar"/>
              </w:rPr>
              <w:t>3</w:t>
            </w:r>
            <w:r>
              <w:rPr>
                <w:rFonts w:hint="eastAsia" w:ascii="仿宋_GB2312" w:hAnsi="仿宋_GB2312" w:eastAsia="仿宋_GB2312" w:cs="仿宋_GB2312"/>
                <w:kern w:val="0"/>
                <w:sz w:val="28"/>
                <w:szCs w:val="28"/>
                <w:lang w:bidi="ar"/>
              </w:rPr>
              <w:t>0.00</w:t>
            </w:r>
          </w:p>
        </w:tc>
        <w:tc>
          <w:tcPr>
            <w:tcW w:w="1666"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98"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项目效益</w:t>
            </w:r>
          </w:p>
        </w:tc>
        <w:tc>
          <w:tcPr>
            <w:tcW w:w="1134"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bidi="ar"/>
              </w:rPr>
              <w:t>30.00</w:t>
            </w:r>
          </w:p>
        </w:tc>
        <w:tc>
          <w:tcPr>
            <w:tcW w:w="1666"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98"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综合得分</w:t>
            </w:r>
          </w:p>
        </w:tc>
        <w:tc>
          <w:tcPr>
            <w:tcW w:w="1134"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bidi="ar"/>
              </w:rPr>
              <w:t>100.00</w:t>
            </w:r>
          </w:p>
        </w:tc>
        <w:tc>
          <w:tcPr>
            <w:tcW w:w="1666" w:type="pct"/>
            <w:shd w:val="clear" w:color="000000" w:fill="auto"/>
            <w:vAlign w:val="center"/>
          </w:tcPr>
          <w:p>
            <w:pPr>
              <w:widowControl/>
              <w:spacing w:line="5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86.90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98" w:type="pct"/>
            <w:shd w:val="clear" w:color="000000" w:fill="auto"/>
            <w:vAlign w:val="center"/>
          </w:tcPr>
          <w:p>
            <w:pPr>
              <w:widowControl/>
              <w:spacing w:line="400" w:lineRule="exact"/>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绩效评定级别</w:t>
            </w:r>
          </w:p>
        </w:tc>
        <w:tc>
          <w:tcPr>
            <w:tcW w:w="2801" w:type="pct"/>
            <w:gridSpan w:val="2"/>
            <w:shd w:val="clear" w:color="000000" w:fill="auto"/>
            <w:vAlign w:val="center"/>
          </w:tcPr>
          <w:p>
            <w:pPr>
              <w:widowControl/>
              <w:spacing w:line="400" w:lineRule="exact"/>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sz w:val="28"/>
                <w:szCs w:val="28"/>
              </w:rPr>
              <w:t>良</w:t>
            </w:r>
          </w:p>
        </w:tc>
      </w:tr>
      <w:bookmarkEnd w:id="30"/>
      <w:bookmarkEnd w:id="31"/>
    </w:tbl>
    <w:p>
      <w:pPr>
        <w:spacing w:line="560" w:lineRule="exact"/>
        <w:ind w:firstLine="643" w:firstLineChars="200"/>
        <w:outlineLvl w:val="0"/>
        <w:rPr>
          <w:rFonts w:ascii="黑体" w:hAnsi="黑体" w:eastAsia="黑体" w:cs="黑体"/>
          <w:b/>
          <w:bCs/>
          <w:sz w:val="32"/>
          <w:szCs w:val="32"/>
        </w:rPr>
      </w:pPr>
      <w:bookmarkStart w:id="32" w:name="_Toc23459"/>
      <w:bookmarkStart w:id="33" w:name="_Toc24327"/>
      <w:r>
        <w:rPr>
          <w:rFonts w:hint="eastAsia" w:ascii="黑体" w:hAnsi="黑体" w:eastAsia="黑体" w:cs="黑体"/>
          <w:b/>
          <w:bCs/>
          <w:sz w:val="32"/>
          <w:szCs w:val="32"/>
        </w:rPr>
        <w:t>四、绩效评价指标分析</w:t>
      </w:r>
      <w:bookmarkEnd w:id="32"/>
      <w:bookmarkEnd w:id="33"/>
    </w:p>
    <w:p>
      <w:pPr>
        <w:spacing w:line="560" w:lineRule="exact"/>
        <w:ind w:firstLine="643" w:firstLineChars="200"/>
        <w:outlineLvl w:val="1"/>
        <w:rPr>
          <w:rFonts w:ascii="楷体" w:hAnsi="楷体" w:eastAsia="楷体" w:cs="楷体"/>
          <w:b/>
          <w:bCs/>
          <w:sz w:val="32"/>
          <w:szCs w:val="32"/>
        </w:rPr>
      </w:pPr>
      <w:bookmarkStart w:id="34" w:name="_Toc26266"/>
      <w:bookmarkStart w:id="35" w:name="_Toc20455"/>
      <w:r>
        <w:rPr>
          <w:rFonts w:hint="eastAsia" w:ascii="楷体" w:hAnsi="楷体" w:eastAsia="楷体" w:cs="楷体"/>
          <w:b/>
          <w:bCs/>
          <w:sz w:val="32"/>
          <w:szCs w:val="32"/>
        </w:rPr>
        <w:t>（一）项目决策情况</w:t>
      </w:r>
      <w:bookmarkEnd w:id="34"/>
      <w:bookmarkEnd w:id="35"/>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rPr>
        <w:t>项目决策指标，满分</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0分，评价得分为</w:t>
      </w:r>
      <w:r>
        <w:rPr>
          <w:rFonts w:hint="eastAsia" w:ascii="仿宋_GB2312" w:hAnsi="仿宋_GB2312" w:eastAsia="仿宋_GB2312" w:cs="仿宋_GB2312"/>
          <w:color w:val="auto"/>
          <w:sz w:val="32"/>
          <w:lang w:val="en-US" w:eastAsia="zh-CN"/>
        </w:rPr>
        <w:t>16.70</w:t>
      </w:r>
      <w:r>
        <w:rPr>
          <w:rFonts w:hint="eastAsia" w:ascii="仿宋_GB2312" w:hAnsi="仿宋_GB2312" w:eastAsia="仿宋_GB2312" w:cs="仿宋_GB2312"/>
          <w:color w:val="auto"/>
          <w:sz w:val="32"/>
        </w:rPr>
        <w:t>分。</w:t>
      </w:r>
      <w:r>
        <w:rPr>
          <w:rFonts w:hint="eastAsia" w:ascii="仿宋_GB2312" w:hAnsi="仿宋_GB2312" w:eastAsia="仿宋_GB2312" w:cs="仿宋_GB2312"/>
          <w:bCs/>
          <w:kern w:val="0"/>
          <w:sz w:val="32"/>
          <w:szCs w:val="32"/>
        </w:rPr>
        <w:t>该项目根据北京市经济和信息化局《关于加快政务信息系统入云工作的函》的</w:t>
      </w:r>
      <w:r>
        <w:rPr>
          <w:rFonts w:hint="eastAsia" w:ascii="仿宋_GB2312" w:hAnsi="仿宋_GB2312" w:eastAsia="仿宋_GB2312" w:cs="仿宋_GB2312"/>
          <w:bCs/>
          <w:kern w:val="0"/>
          <w:sz w:val="32"/>
          <w:szCs w:val="32"/>
          <w:lang w:val="en-US" w:eastAsia="zh-CN"/>
        </w:rPr>
        <w:t>通知要求</w:t>
      </w:r>
      <w:r>
        <w:rPr>
          <w:rFonts w:hint="eastAsia" w:ascii="仿宋_GB2312" w:hAnsi="仿宋_GB2312" w:eastAsia="仿宋_GB2312" w:cs="仿宋_GB2312"/>
          <w:bCs/>
          <w:kern w:val="0"/>
          <w:sz w:val="32"/>
          <w:szCs w:val="32"/>
        </w:rPr>
        <w:t>，2023年继续申报已入云业务系统租用其他租赁服务采购项目的相关费用。</w:t>
      </w:r>
      <w:r>
        <w:rPr>
          <w:rFonts w:hint="eastAsia" w:ascii="仿宋_GB2312" w:hAnsi="仿宋_GB2312" w:eastAsia="仿宋_GB2312" w:cs="仿宋_GB2312"/>
          <w:bCs/>
          <w:kern w:val="0"/>
          <w:sz w:val="32"/>
          <w:szCs w:val="32"/>
          <w:lang w:val="en-US" w:eastAsia="zh-CN"/>
        </w:rPr>
        <w:t>项目</w:t>
      </w:r>
      <w:r>
        <w:rPr>
          <w:rFonts w:hint="eastAsia" w:ascii="仿宋_GB2312" w:hAnsi="仿宋_GB2312" w:eastAsia="仿宋_GB2312" w:cs="仿宋_GB2312"/>
          <w:bCs/>
          <w:kern w:val="0"/>
          <w:sz w:val="32"/>
          <w:szCs w:val="32"/>
        </w:rPr>
        <w:t>通过北京市总工会党组会审议后，报送北京市财政局进行项目立项。项目决策的政策依据较为充分，决策程序较为完备。</w:t>
      </w:r>
      <w:r>
        <w:rPr>
          <w:rFonts w:hint="eastAsia" w:ascii="仿宋_GB2312" w:hAnsi="仿宋_GB2312" w:eastAsia="仿宋_GB2312" w:cs="仿宋_GB2312"/>
          <w:kern w:val="0"/>
          <w:sz w:val="32"/>
          <w:szCs w:val="32"/>
        </w:rPr>
        <w:t>该项目在2023年开展了可行性研究，对项目现状进行了详细介绍，但对项目实施进度及</w:t>
      </w:r>
      <w:r>
        <w:rPr>
          <w:rFonts w:hint="eastAsia" w:ascii="仿宋_GB2312" w:hAnsi="仿宋_GB2312" w:eastAsia="仿宋_GB2312" w:cs="仿宋_GB2312"/>
          <w:sz w:val="32"/>
          <w:szCs w:val="32"/>
        </w:rPr>
        <w:t>项目预期绩效成果等方面的分析较为笼统，对增加工作量的需求论证</w:t>
      </w:r>
      <w:r>
        <w:rPr>
          <w:rFonts w:hint="eastAsia" w:ascii="仿宋_GB2312" w:hAnsi="仿宋_GB2312" w:eastAsia="仿宋_GB2312" w:cs="仿宋_GB2312"/>
          <w:sz w:val="32"/>
          <w:szCs w:val="32"/>
          <w:lang w:val="en-US" w:eastAsia="zh-CN"/>
        </w:rPr>
        <w:t>不够</w:t>
      </w:r>
      <w:r>
        <w:rPr>
          <w:rFonts w:hint="eastAsia" w:ascii="仿宋_GB2312" w:hAnsi="仿宋_GB2312" w:eastAsia="仿宋_GB2312" w:cs="仿宋_GB2312"/>
          <w:sz w:val="32"/>
          <w:szCs w:val="32"/>
        </w:rPr>
        <w:t>充分，未见专家论证意见</w:t>
      </w:r>
      <w:r>
        <w:rPr>
          <w:rFonts w:hint="eastAsia" w:ascii="仿宋_GB2312" w:hAnsi="仿宋_GB2312" w:eastAsia="仿宋_GB2312" w:cs="仿宋_GB2312"/>
          <w:kern w:val="0"/>
          <w:sz w:val="32"/>
          <w:szCs w:val="32"/>
          <w:lang w:eastAsia="zh-CN"/>
        </w:rPr>
        <w:t>。</w:t>
      </w:r>
    </w:p>
    <w:p>
      <w:pPr>
        <w:spacing w:line="560" w:lineRule="exact"/>
        <w:rPr>
          <w:rFonts w:hint="eastAsia" w:ascii="仿宋_GB2312" w:hAnsi="楷体" w:eastAsia="仿宋_GB2312"/>
          <w:bCs/>
          <w:kern w:val="0"/>
          <w:sz w:val="32"/>
          <w:szCs w:val="28"/>
          <w:lang w:eastAsia="zh-CN"/>
        </w:rPr>
      </w:pPr>
      <w:r>
        <w:rPr>
          <w:rFonts w:hint="eastAsia" w:ascii="仿宋_GB2312" w:hAnsi="楷体" w:eastAsia="仿宋_GB2312"/>
          <w:bCs/>
          <w:kern w:val="0"/>
          <w:sz w:val="32"/>
          <w:szCs w:val="28"/>
        </w:rPr>
        <w:t>该项目</w:t>
      </w:r>
      <w:r>
        <w:rPr>
          <w:rFonts w:hint="eastAsia" w:ascii="仿宋_GB2312" w:hAnsi="仿宋_GB2312" w:eastAsia="仿宋_GB2312" w:cs="仿宋_GB2312"/>
          <w:kern w:val="0"/>
          <w:sz w:val="32"/>
          <w:szCs w:val="32"/>
        </w:rPr>
        <w:t>绩效目标与项目实施内容基本相符，但部分绩效指标不够明确，可衡量性存在不足</w:t>
      </w:r>
      <w:r>
        <w:rPr>
          <w:rFonts w:hint="eastAsia" w:ascii="仿宋_GB2312" w:hAnsi="仿宋_GB2312" w:eastAsia="仿宋_GB2312" w:cs="仿宋_GB2312"/>
          <w:kern w:val="0"/>
          <w:sz w:val="32"/>
          <w:szCs w:val="32"/>
          <w:lang w:eastAsia="zh-CN"/>
        </w:rPr>
        <w:t>。</w:t>
      </w:r>
    </w:p>
    <w:p>
      <w:pPr>
        <w:spacing w:line="560" w:lineRule="exact"/>
        <w:ind w:firstLine="643" w:firstLineChars="200"/>
        <w:outlineLvl w:val="1"/>
        <w:rPr>
          <w:rFonts w:ascii="楷体" w:hAnsi="楷体" w:eastAsia="楷体" w:cs="楷体"/>
          <w:b/>
          <w:bCs/>
          <w:sz w:val="32"/>
          <w:szCs w:val="32"/>
        </w:rPr>
      </w:pPr>
      <w:bookmarkStart w:id="36" w:name="_Toc27212"/>
      <w:bookmarkStart w:id="37" w:name="_Toc23724"/>
      <w:r>
        <w:rPr>
          <w:rFonts w:hint="eastAsia" w:ascii="楷体" w:hAnsi="楷体" w:eastAsia="楷体" w:cs="楷体"/>
          <w:b/>
          <w:bCs/>
          <w:sz w:val="32"/>
          <w:szCs w:val="32"/>
        </w:rPr>
        <w:t>（二）项目过程情况</w:t>
      </w:r>
      <w:bookmarkEnd w:id="36"/>
      <w:bookmarkEnd w:id="37"/>
    </w:p>
    <w:p>
      <w:pPr>
        <w:spacing w:line="560" w:lineRule="exact"/>
        <w:ind w:firstLine="640" w:firstLineChars="200"/>
        <w:rPr>
          <w:rFonts w:ascii="仿宋_GB2312" w:hAnsi="仿宋_GB2312" w:eastAsia="仿宋_GB2312" w:cs="仿宋_GB2312"/>
          <w:sz w:val="32"/>
          <w:szCs w:val="32"/>
        </w:rPr>
      </w:pPr>
      <w:r>
        <w:rPr>
          <w:rFonts w:hint="eastAsia" w:ascii="仿宋_GB2312" w:hAnsi="楷体" w:eastAsia="仿宋_GB2312"/>
          <w:bCs/>
          <w:kern w:val="0"/>
          <w:sz w:val="32"/>
          <w:szCs w:val="28"/>
        </w:rPr>
        <w:t>项目过程指标，满分20分，评价得分为</w:t>
      </w:r>
      <w:r>
        <w:rPr>
          <w:rFonts w:hint="eastAsia" w:ascii="仿宋_GB2312" w:hAnsi="楷体" w:eastAsia="仿宋_GB2312"/>
          <w:bCs/>
          <w:kern w:val="0"/>
          <w:sz w:val="32"/>
          <w:szCs w:val="28"/>
          <w:lang w:val="en-US" w:eastAsia="zh-CN"/>
        </w:rPr>
        <w:t>17.90</w:t>
      </w:r>
      <w:r>
        <w:rPr>
          <w:rFonts w:hint="eastAsia" w:ascii="仿宋_GB2312" w:hAnsi="楷体" w:eastAsia="仿宋_GB2312"/>
          <w:bCs/>
          <w:kern w:val="0"/>
          <w:sz w:val="32"/>
          <w:szCs w:val="28"/>
        </w:rPr>
        <w:t>分。</w:t>
      </w:r>
      <w:r>
        <w:rPr>
          <w:rFonts w:hint="eastAsia" w:ascii="仿宋_GB2312" w:hAnsi="仿宋_GB2312" w:eastAsia="仿宋_GB2312" w:cs="仿宋_GB2312"/>
          <w:color w:val="auto"/>
          <w:sz w:val="32"/>
        </w:rPr>
        <w:t>在资金管理方面，资金及时足额到位，财务制度健全完善</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制定了实施方案，</w:t>
      </w:r>
      <w:r>
        <w:rPr>
          <w:rFonts w:hint="eastAsia" w:ascii="仿宋_GB2312" w:hAnsi="仿宋_GB2312" w:eastAsia="仿宋_GB2312" w:cs="仿宋_GB2312"/>
          <w:sz w:val="32"/>
          <w:szCs w:val="32"/>
          <w:lang w:val="en-US" w:eastAsia="zh-CN"/>
        </w:rPr>
        <w:t>但</w:t>
      </w:r>
      <w:r>
        <w:rPr>
          <w:rFonts w:hint="eastAsia" w:ascii="仿宋_GB2312" w:hAnsi="仿宋_GB2312" w:eastAsia="仿宋_GB2312" w:cs="仿宋_GB2312"/>
          <w:sz w:val="32"/>
          <w:szCs w:val="32"/>
        </w:rPr>
        <w:t>该项目实施方案不够规范，提供的实施方案为政务云技术方案，未能体现实施部门对该项目过程管理、监督检查和验收方式等内容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对第三方服务商服务质量监管的过程资料归集不够完整，对项目覆盖范围的界定，委托服务的决策过程，以及对项目执行过程的监督不够</w:t>
      </w:r>
      <w:r>
        <w:rPr>
          <w:rFonts w:hint="eastAsia" w:ascii="仿宋_GB2312" w:hAnsi="仿宋_GB2312" w:eastAsia="仿宋_GB2312" w:cs="仿宋_GB2312"/>
          <w:sz w:val="32"/>
          <w:szCs w:val="32"/>
          <w:lang w:val="en-US" w:eastAsia="zh-CN"/>
        </w:rPr>
        <w:t>。</w:t>
      </w:r>
    </w:p>
    <w:p>
      <w:pPr>
        <w:spacing w:line="560" w:lineRule="exact"/>
        <w:ind w:firstLine="643" w:firstLineChars="200"/>
        <w:outlineLvl w:val="1"/>
        <w:rPr>
          <w:rFonts w:ascii="楷体" w:hAnsi="楷体" w:eastAsia="楷体" w:cs="楷体"/>
          <w:b/>
          <w:bCs/>
          <w:sz w:val="32"/>
          <w:szCs w:val="32"/>
        </w:rPr>
      </w:pPr>
      <w:bookmarkStart w:id="38" w:name="_Toc30333"/>
      <w:bookmarkStart w:id="39" w:name="_Toc10177"/>
      <w:r>
        <w:rPr>
          <w:rFonts w:hint="eastAsia" w:ascii="楷体" w:hAnsi="楷体" w:eastAsia="楷体" w:cs="楷体"/>
          <w:b/>
          <w:bCs/>
          <w:sz w:val="32"/>
          <w:szCs w:val="32"/>
        </w:rPr>
        <w:t>（三）项目产出情况</w:t>
      </w:r>
      <w:bookmarkEnd w:id="38"/>
      <w:bookmarkEnd w:id="39"/>
    </w:p>
    <w:p>
      <w:pPr>
        <w:spacing w:line="560" w:lineRule="exact"/>
        <w:ind w:firstLine="640" w:firstLineChars="200"/>
        <w:rPr>
          <w:sz w:val="32"/>
          <w:szCs w:val="32"/>
        </w:rPr>
      </w:pPr>
      <w:r>
        <w:rPr>
          <w:rFonts w:hint="eastAsia" w:ascii="仿宋_GB2312" w:hAnsi="仿宋_GB2312" w:eastAsia="仿宋_GB2312" w:cs="仿宋_GB2312"/>
          <w:kern w:val="0"/>
          <w:sz w:val="32"/>
          <w:szCs w:val="32"/>
          <w:lang w:eastAsia="zh-CN"/>
        </w:rPr>
        <w:t>项目产出指标，满分</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lang w:eastAsia="zh-CN"/>
        </w:rPr>
        <w:t>0分，评价得分为</w:t>
      </w:r>
      <w:r>
        <w:rPr>
          <w:rFonts w:hint="eastAsia" w:ascii="仿宋_GB2312" w:hAnsi="仿宋_GB2312" w:eastAsia="仿宋_GB2312" w:cs="仿宋_GB2312"/>
          <w:kern w:val="0"/>
          <w:sz w:val="32"/>
          <w:szCs w:val="32"/>
          <w:lang w:val="en-US" w:eastAsia="zh-CN"/>
        </w:rPr>
        <w:t>28</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50</w:t>
      </w:r>
      <w:r>
        <w:rPr>
          <w:rFonts w:hint="eastAsia" w:ascii="仿宋_GB2312" w:hAnsi="仿宋_GB2312" w:eastAsia="仿宋_GB2312" w:cs="仿宋_GB2312"/>
          <w:kern w:val="0"/>
          <w:sz w:val="32"/>
          <w:szCs w:val="32"/>
          <w:lang w:eastAsia="zh-CN"/>
        </w:rPr>
        <w:t>分。</w:t>
      </w:r>
      <w:r>
        <w:rPr>
          <w:rFonts w:hint="eastAsia" w:ascii="仿宋_GB2312" w:hAnsi="仿宋_GB2312" w:eastAsia="仿宋_GB2312" w:cs="仿宋_GB2312"/>
          <w:kern w:val="0"/>
          <w:sz w:val="32"/>
          <w:szCs w:val="32"/>
        </w:rPr>
        <w:t>计划完成已入云业务系统的正常稳定运行及云资源、云服务租用工作，以保障项目基础设施、软件硬件正常运转，为业务开展提供支撑</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第三方服务商完成了合同约定的服务内容，两个子项目通过验收</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auto"/>
          <w:kern w:val="0"/>
          <w:sz w:val="32"/>
          <w:szCs w:val="32"/>
          <w:highlight w:val="none"/>
          <w:lang w:val="en-US" w:eastAsia="zh-CN"/>
        </w:rPr>
        <w:t>但</w:t>
      </w:r>
      <w:r>
        <w:rPr>
          <w:rFonts w:hint="eastAsia" w:ascii="仿宋_GB2312" w:hAnsi="仿宋_GB2312" w:eastAsia="仿宋_GB2312" w:cs="仿宋_GB2312"/>
          <w:color w:val="auto"/>
          <w:sz w:val="32"/>
          <w:szCs w:val="32"/>
          <w:lang w:eastAsia="zh-CN"/>
        </w:rPr>
        <w:t>项目合同为跨年，2023年下半年项目验收成果体现不充分。</w:t>
      </w:r>
    </w:p>
    <w:p>
      <w:pPr>
        <w:pStyle w:val="18"/>
        <w:spacing w:before="0" w:line="560" w:lineRule="exact"/>
        <w:ind w:left="0" w:firstLine="643" w:firstLineChars="200"/>
        <w:outlineLvl w:val="1"/>
        <w:rPr>
          <w:rFonts w:ascii="楷体" w:hAnsi="楷体" w:eastAsia="楷体" w:cs="楷体"/>
          <w:b/>
          <w:bCs/>
        </w:rPr>
      </w:pPr>
      <w:bookmarkStart w:id="40" w:name="_Toc10256"/>
      <w:bookmarkStart w:id="41" w:name="_Toc6271"/>
      <w:r>
        <w:rPr>
          <w:rFonts w:hint="eastAsia" w:ascii="楷体" w:hAnsi="楷体" w:eastAsia="楷体" w:cs="楷体"/>
          <w:b/>
          <w:bCs/>
        </w:rPr>
        <w:t>（四）项目效益情况</w:t>
      </w:r>
      <w:bookmarkEnd w:id="40"/>
      <w:bookmarkEnd w:id="41"/>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项目效益指标，满分30分，评价得分为23.80分。</w:t>
      </w:r>
      <w:r>
        <w:rPr>
          <w:rFonts w:hint="eastAsia" w:ascii="仿宋_GB2312" w:hAnsi="仿宋_GB2312" w:eastAsia="仿宋_GB2312" w:cs="仿宋_GB2312"/>
          <w:kern w:val="0"/>
          <w:sz w:val="32"/>
          <w:szCs w:val="32"/>
        </w:rPr>
        <w:t>通过先进的技术手段打造综合业务系统，使</w:t>
      </w:r>
      <w:r>
        <w:rPr>
          <w:rFonts w:hint="eastAsia" w:ascii="仿宋_GB2312" w:hAnsi="仿宋_GB2312" w:eastAsia="仿宋_GB2312" w:cs="仿宋_GB2312"/>
          <w:kern w:val="0"/>
          <w:sz w:val="32"/>
          <w:szCs w:val="32"/>
          <w:lang w:val="en-US" w:eastAsia="zh-CN"/>
        </w:rPr>
        <w:t>北京</w:t>
      </w:r>
      <w:r>
        <w:rPr>
          <w:rFonts w:hint="eastAsia" w:ascii="仿宋_GB2312" w:hAnsi="仿宋_GB2312" w:eastAsia="仿宋_GB2312" w:cs="仿宋_GB2312"/>
          <w:kern w:val="0"/>
          <w:sz w:val="32"/>
          <w:szCs w:val="32"/>
        </w:rPr>
        <w:t>市总工会业务适应技术发展要求，提高了办事效率，节省了办事成本，推进了政务大数据信息融合和信息系统整合共享工作，集约化资源能力得到了进一步提升</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但项目绩效总结分析不足，绩效资料中未对实现情况进行统计分析，</w:t>
      </w:r>
      <w:r>
        <w:rPr>
          <w:rFonts w:hint="eastAsia" w:ascii="仿宋_GB2312" w:hAnsi="仿宋_GB2312" w:eastAsia="仿宋_GB2312" w:cs="仿宋_GB2312"/>
          <w:kern w:val="0"/>
          <w:sz w:val="32"/>
          <w:szCs w:val="32"/>
          <w:lang w:val="en-US" w:eastAsia="zh-CN"/>
        </w:rPr>
        <w:t>项目绩效成果和效益完成情况呈现不足</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项目单位</w:t>
      </w:r>
      <w:r>
        <w:rPr>
          <w:rFonts w:hint="eastAsia" w:ascii="仿宋_GB2312" w:hAnsi="仿宋_GB2312" w:eastAsia="仿宋_GB2312" w:cs="仿宋_GB2312"/>
          <w:kern w:val="0"/>
          <w:sz w:val="32"/>
          <w:szCs w:val="32"/>
        </w:rPr>
        <w:t>提供了针对第三方服务商的用户意见书，但未对直接用户开展满意度调查</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项目服务对象满意度调查过程和分析</w:t>
      </w:r>
      <w:r>
        <w:rPr>
          <w:rFonts w:hint="eastAsia" w:ascii="仿宋_GB2312" w:hAnsi="仿宋_GB2312" w:eastAsia="仿宋_GB2312" w:cs="仿宋_GB2312"/>
          <w:kern w:val="0"/>
          <w:sz w:val="32"/>
          <w:szCs w:val="32"/>
          <w:lang w:val="en-US" w:eastAsia="zh-CN"/>
        </w:rPr>
        <w:t>不够完善</w:t>
      </w:r>
      <w:r>
        <w:rPr>
          <w:rFonts w:hint="eastAsia" w:ascii="仿宋_GB2312" w:hAnsi="仿宋_GB2312" w:eastAsia="仿宋_GB2312" w:cs="仿宋_GB2312"/>
          <w:kern w:val="0"/>
          <w:sz w:val="32"/>
          <w:szCs w:val="32"/>
        </w:rPr>
        <w:t>。</w:t>
      </w:r>
    </w:p>
    <w:p>
      <w:pPr>
        <w:spacing w:line="560" w:lineRule="exact"/>
        <w:ind w:firstLine="643" w:firstLineChars="200"/>
        <w:outlineLvl w:val="0"/>
        <w:rPr>
          <w:rFonts w:ascii="黑体" w:hAnsi="黑体" w:eastAsia="黑体" w:cs="黑体"/>
          <w:b/>
          <w:bCs/>
          <w:sz w:val="32"/>
          <w:szCs w:val="32"/>
        </w:rPr>
      </w:pPr>
      <w:bookmarkStart w:id="42" w:name="_Toc5290"/>
      <w:bookmarkStart w:id="43" w:name="_Toc1580"/>
      <w:r>
        <w:rPr>
          <w:rFonts w:hint="eastAsia" w:ascii="黑体" w:hAnsi="黑体" w:eastAsia="黑体" w:cs="黑体"/>
          <w:b/>
          <w:bCs/>
          <w:sz w:val="32"/>
          <w:szCs w:val="32"/>
        </w:rPr>
        <w:t>五、存在的</w:t>
      </w:r>
      <w:r>
        <w:rPr>
          <w:rFonts w:hint="eastAsia" w:ascii="黑体" w:hAnsi="黑体" w:eastAsia="黑体" w:cs="黑体"/>
          <w:b/>
          <w:bCs/>
          <w:sz w:val="32"/>
          <w:szCs w:val="32"/>
          <w:lang w:val="en-US" w:eastAsia="zh-CN"/>
        </w:rPr>
        <w:t>主要</w:t>
      </w:r>
      <w:r>
        <w:rPr>
          <w:rFonts w:hint="eastAsia" w:ascii="黑体" w:hAnsi="黑体" w:eastAsia="黑体" w:cs="黑体"/>
          <w:b/>
          <w:bCs/>
          <w:sz w:val="32"/>
          <w:szCs w:val="32"/>
        </w:rPr>
        <w:t>问题</w:t>
      </w:r>
      <w:bookmarkEnd w:id="42"/>
      <w:bookmarkEnd w:id="43"/>
    </w:p>
    <w:p>
      <w:pPr>
        <w:spacing w:line="560" w:lineRule="exact"/>
        <w:ind w:firstLine="643" w:firstLineChars="200"/>
        <w:outlineLvl w:val="1"/>
        <w:rPr>
          <w:rFonts w:ascii="楷体" w:hAnsi="楷体" w:eastAsia="楷体" w:cs="楷体"/>
          <w:b/>
          <w:bCs/>
          <w:sz w:val="32"/>
          <w:szCs w:val="32"/>
        </w:rPr>
      </w:pPr>
      <w:bookmarkStart w:id="44" w:name="_Toc942"/>
      <w:bookmarkStart w:id="45" w:name="_Toc6085"/>
      <w:r>
        <w:rPr>
          <w:rFonts w:hint="eastAsia" w:ascii="楷体" w:hAnsi="楷体" w:eastAsia="楷体" w:cs="楷体"/>
          <w:b/>
          <w:bCs/>
          <w:sz w:val="32"/>
          <w:szCs w:val="32"/>
        </w:rPr>
        <w:t>（一）项目决策方面</w:t>
      </w:r>
      <w:bookmarkEnd w:id="44"/>
      <w:bookmarkEnd w:id="45"/>
    </w:p>
    <w:p>
      <w:pPr>
        <w:spacing w:line="560" w:lineRule="exact"/>
        <w:ind w:firstLine="640" w:firstLineChars="200"/>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kern w:val="0"/>
          <w:sz w:val="32"/>
          <w:szCs w:val="32"/>
        </w:rPr>
        <w:t>项目可行性研究对项目实施进度及项目预期绩效成果等方面的分析较为笼统，缺乏项目实施计划和上一年度云资源使用情况分析，对增加工作量的需求论证不足，未见专家论证意见</w:t>
      </w:r>
      <w:bookmarkStart w:id="46" w:name="_Toc3348"/>
      <w:r>
        <w:rPr>
          <w:rFonts w:hint="eastAsia" w:ascii="仿宋_GB2312" w:hAnsi="仿宋_GB2312" w:eastAsia="仿宋_GB2312" w:cs="仿宋_GB2312"/>
          <w:kern w:val="0"/>
          <w:sz w:val="32"/>
          <w:szCs w:val="32"/>
          <w:lang w:eastAsia="zh-CN"/>
        </w:rPr>
        <w:t>；</w:t>
      </w:r>
      <w:r>
        <w:rPr>
          <w:rFonts w:ascii="仿宋_GB2312" w:hAnsi="仿宋_GB2312" w:eastAsia="仿宋_GB2312" w:cs="仿宋_GB2312"/>
          <w:kern w:val="0"/>
          <w:sz w:val="32"/>
          <w:szCs w:val="32"/>
        </w:rPr>
        <w:t>部分绩效指标不够具体明确，可衡量性存在不足。如：社会效益与该项目的关联性不足</w:t>
      </w:r>
      <w:r>
        <w:rPr>
          <w:rFonts w:hint="eastAsia" w:ascii="仿宋_GB2312" w:hAnsi="仿宋_GB2312" w:eastAsia="仿宋_GB2312" w:cs="仿宋_GB2312"/>
          <w:kern w:val="0"/>
          <w:sz w:val="32"/>
          <w:szCs w:val="32"/>
          <w:lang w:eastAsia="zh-CN"/>
        </w:rPr>
        <w:t>，</w:t>
      </w:r>
      <w:r>
        <w:rPr>
          <w:rFonts w:ascii="仿宋_GB2312" w:hAnsi="仿宋_GB2312" w:eastAsia="仿宋_GB2312" w:cs="仿宋_GB2312"/>
          <w:kern w:val="0"/>
          <w:sz w:val="32"/>
          <w:szCs w:val="32"/>
        </w:rPr>
        <w:t>服务对象满意度指标缺乏满意度具体标准</w:t>
      </w:r>
      <w:r>
        <w:rPr>
          <w:rFonts w:hint="eastAsia" w:ascii="仿宋_GB2312" w:hAnsi="仿宋_GB2312" w:eastAsia="仿宋_GB2312" w:cs="仿宋_GB2312"/>
          <w:b w:val="0"/>
          <w:bCs w:val="0"/>
          <w:color w:val="auto"/>
          <w:kern w:val="0"/>
          <w:sz w:val="32"/>
          <w:szCs w:val="32"/>
          <w:lang w:val="en-US" w:eastAsia="zh-CN"/>
        </w:rPr>
        <w:t>。</w:t>
      </w:r>
    </w:p>
    <w:p>
      <w:pPr>
        <w:spacing w:line="560" w:lineRule="exact"/>
        <w:ind w:firstLine="643" w:firstLineChars="200"/>
        <w:outlineLvl w:val="1"/>
        <w:rPr>
          <w:rFonts w:ascii="楷体" w:hAnsi="楷体" w:eastAsia="楷体" w:cs="楷体"/>
          <w:b/>
          <w:bCs/>
          <w:sz w:val="32"/>
          <w:szCs w:val="32"/>
        </w:rPr>
      </w:pPr>
      <w:bookmarkStart w:id="47" w:name="_Toc25812"/>
      <w:r>
        <w:rPr>
          <w:rFonts w:hint="eastAsia" w:ascii="楷体" w:hAnsi="楷体" w:eastAsia="楷体" w:cs="楷体"/>
          <w:b/>
          <w:bCs/>
          <w:sz w:val="32"/>
          <w:szCs w:val="32"/>
        </w:rPr>
        <w:t>（二）项目管理方面</w:t>
      </w:r>
      <w:bookmarkEnd w:id="46"/>
      <w:bookmarkEnd w:id="47"/>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项目实施方案的规范性有待提升</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提供的实施方案偏技术方案，未能体现实施部门对该项目过程管理、监督检查和验收方式等内容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项目过程管理的规范性有待提高</w:t>
      </w:r>
      <w:bookmarkStart w:id="48" w:name="_Toc16629"/>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对第三方服务商服务质量监管的过程资料归集不够完整，</w:t>
      </w:r>
      <w:r>
        <w:rPr>
          <w:rFonts w:hint="eastAsia" w:ascii="仿宋_GB2312" w:hAnsi="仿宋_GB2312" w:eastAsia="仿宋_GB2312" w:cs="仿宋_GB2312"/>
          <w:color w:val="auto"/>
          <w:sz w:val="32"/>
          <w:szCs w:val="32"/>
          <w:lang w:eastAsia="zh-CN"/>
        </w:rPr>
        <w:t>未</w:t>
      </w:r>
      <w:r>
        <w:rPr>
          <w:rFonts w:hint="eastAsia" w:ascii="仿宋_GB2312" w:hAnsi="仿宋_GB2312" w:eastAsia="仿宋_GB2312" w:cs="仿宋_GB2312"/>
          <w:color w:val="auto"/>
          <w:sz w:val="32"/>
          <w:szCs w:val="32"/>
          <w:lang w:val="en-US" w:eastAsia="zh-CN"/>
        </w:rPr>
        <w:t>及时</w:t>
      </w:r>
      <w:r>
        <w:rPr>
          <w:rFonts w:hint="eastAsia" w:ascii="仿宋_GB2312" w:hAnsi="仿宋_GB2312" w:eastAsia="仿宋_GB2312" w:cs="仿宋_GB2312"/>
          <w:color w:val="auto"/>
          <w:sz w:val="32"/>
          <w:szCs w:val="32"/>
          <w:lang w:eastAsia="zh-CN"/>
        </w:rPr>
        <w:t>按合同约定时间付款。</w:t>
      </w:r>
    </w:p>
    <w:p>
      <w:pPr>
        <w:spacing w:line="560" w:lineRule="exact"/>
        <w:ind w:firstLine="643" w:firstLineChars="200"/>
        <w:outlineLvl w:val="1"/>
        <w:rPr>
          <w:rFonts w:hint="default" w:ascii="楷体" w:hAnsi="楷体" w:eastAsia="楷体" w:cs="楷体"/>
          <w:b/>
          <w:bCs/>
          <w:sz w:val="32"/>
          <w:szCs w:val="32"/>
          <w:lang w:val="en-US" w:eastAsia="zh-CN"/>
        </w:rPr>
      </w:pPr>
      <w:bookmarkStart w:id="49" w:name="_Toc4303"/>
      <w:r>
        <w:rPr>
          <w:rFonts w:hint="eastAsia" w:ascii="楷体" w:hAnsi="楷体" w:eastAsia="楷体" w:cs="楷体"/>
          <w:b/>
          <w:bCs/>
          <w:sz w:val="32"/>
          <w:szCs w:val="32"/>
        </w:rPr>
        <w:t>（三）项目</w:t>
      </w:r>
      <w:bookmarkEnd w:id="48"/>
      <w:r>
        <w:rPr>
          <w:rFonts w:hint="eastAsia" w:ascii="楷体" w:hAnsi="楷体" w:eastAsia="楷体" w:cs="楷体"/>
          <w:b/>
          <w:bCs/>
          <w:sz w:val="32"/>
          <w:szCs w:val="32"/>
          <w:lang w:val="en-US" w:eastAsia="zh-CN"/>
        </w:rPr>
        <w:t>产出效益方面</w:t>
      </w:r>
      <w:bookmarkEnd w:id="49"/>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w:t>
      </w:r>
      <w:r>
        <w:rPr>
          <w:rFonts w:hint="eastAsia" w:ascii="仿宋_GB2312" w:hAnsi="仿宋_GB2312" w:eastAsia="仿宋_GB2312" w:cs="仿宋_GB2312"/>
          <w:kern w:val="0"/>
          <w:sz w:val="32"/>
          <w:szCs w:val="32"/>
          <w:lang w:val="en-US" w:eastAsia="zh-CN"/>
        </w:rPr>
        <w:t>绩效</w:t>
      </w:r>
      <w:r>
        <w:rPr>
          <w:rFonts w:hint="eastAsia" w:ascii="仿宋_GB2312" w:hAnsi="仿宋_GB2312" w:eastAsia="仿宋_GB2312" w:cs="仿宋_GB2312"/>
          <w:kern w:val="0"/>
          <w:sz w:val="32"/>
          <w:szCs w:val="32"/>
        </w:rPr>
        <w:t>资料归集有待进一步加强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部分绩效信息的资料、数据归集不够规范完整</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未对项目实现情况进行统计分析</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效益成果资料体现不充分</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服务对象满意度调查仅以用户意见书形式作为满意度调查结果呈现，项目服务对象满意度调查和分析</w:t>
      </w:r>
      <w:r>
        <w:rPr>
          <w:rFonts w:hint="eastAsia" w:ascii="仿宋_GB2312" w:hAnsi="仿宋_GB2312" w:eastAsia="仿宋_GB2312" w:cs="仿宋_GB2312"/>
          <w:kern w:val="0"/>
          <w:sz w:val="32"/>
          <w:szCs w:val="32"/>
          <w:lang w:val="en-US" w:eastAsia="zh-CN"/>
        </w:rPr>
        <w:t>不够完善</w:t>
      </w:r>
      <w:r>
        <w:rPr>
          <w:rFonts w:hint="eastAsia" w:ascii="仿宋_GB2312" w:hAnsi="仿宋_GB2312" w:eastAsia="仿宋_GB2312" w:cs="仿宋_GB2312"/>
          <w:kern w:val="0"/>
          <w:sz w:val="32"/>
          <w:szCs w:val="32"/>
        </w:rPr>
        <w:t>。</w:t>
      </w:r>
    </w:p>
    <w:p>
      <w:pPr>
        <w:spacing w:line="560" w:lineRule="exact"/>
        <w:ind w:firstLine="643" w:firstLineChars="200"/>
        <w:outlineLvl w:val="0"/>
        <w:rPr>
          <w:rFonts w:ascii="黑体" w:hAnsi="黑体" w:eastAsia="黑体" w:cs="黑体"/>
          <w:b/>
          <w:bCs/>
          <w:sz w:val="32"/>
          <w:szCs w:val="32"/>
        </w:rPr>
      </w:pPr>
      <w:bookmarkStart w:id="50" w:name="_Toc18764"/>
      <w:bookmarkStart w:id="51" w:name="_Toc31443"/>
      <w:r>
        <w:rPr>
          <w:rFonts w:hint="eastAsia" w:ascii="黑体" w:hAnsi="黑体" w:eastAsia="黑体" w:cs="黑体"/>
          <w:b/>
          <w:bCs/>
          <w:sz w:val="32"/>
          <w:szCs w:val="32"/>
        </w:rPr>
        <w:t>六、有关建议</w:t>
      </w:r>
      <w:bookmarkEnd w:id="50"/>
      <w:bookmarkEnd w:id="51"/>
    </w:p>
    <w:p>
      <w:pPr>
        <w:widowControl/>
        <w:spacing w:line="560" w:lineRule="exact"/>
        <w:ind w:firstLine="643" w:firstLineChars="200"/>
        <w:outlineLvl w:val="1"/>
        <w:rPr>
          <w:rFonts w:ascii="楷体" w:hAnsi="楷体" w:eastAsia="楷体" w:cs="楷体"/>
          <w:b/>
          <w:bCs/>
          <w:sz w:val="32"/>
          <w:szCs w:val="32"/>
        </w:rPr>
      </w:pPr>
      <w:bookmarkStart w:id="52" w:name="_Toc23015"/>
      <w:bookmarkStart w:id="53" w:name="_Toc10872"/>
      <w:r>
        <w:rPr>
          <w:rFonts w:hint="eastAsia" w:ascii="楷体" w:hAnsi="楷体" w:eastAsia="楷体" w:cs="楷体"/>
          <w:b/>
          <w:bCs/>
          <w:sz w:val="32"/>
          <w:szCs w:val="32"/>
        </w:rPr>
        <w:t>（一）项目决策方面</w:t>
      </w:r>
      <w:bookmarkEnd w:id="52"/>
      <w:bookmarkEnd w:id="53"/>
    </w:p>
    <w:p>
      <w:pPr>
        <w:spacing w:line="560" w:lineRule="exact"/>
        <w:ind w:firstLine="640" w:firstLineChars="200"/>
        <w:rPr>
          <w:rFonts w:ascii="仿宋_GB2312" w:hAnsi="Calibri" w:eastAsia="仿宋_GB2312"/>
          <w:bCs/>
          <w:sz w:val="32"/>
          <w:szCs w:val="32"/>
          <w:lang w:val="zh-CN"/>
        </w:rPr>
      </w:pPr>
      <w:r>
        <w:rPr>
          <w:rFonts w:hint="eastAsia" w:ascii="仿宋_GB2312" w:hAnsi="仿宋_GB2312" w:eastAsia="仿宋_GB2312" w:cs="仿宋_GB2312"/>
          <w:sz w:val="32"/>
          <w:szCs w:val="32"/>
        </w:rPr>
        <w:t>进一步强化项目决策管理，</w:t>
      </w:r>
      <w:r>
        <w:rPr>
          <w:rFonts w:hint="eastAsia" w:ascii="仿宋_GB2312" w:hAnsi="Calibri" w:eastAsia="仿宋_GB2312"/>
          <w:bCs/>
          <w:sz w:val="32"/>
          <w:szCs w:val="32"/>
        </w:rPr>
        <w:t>加强项目可行性研究论证</w:t>
      </w:r>
      <w:r>
        <w:rPr>
          <w:rFonts w:hint="eastAsia" w:ascii="仿宋_GB2312" w:hAnsi="Calibri" w:eastAsia="仿宋_GB2312"/>
          <w:bCs/>
          <w:sz w:val="32"/>
          <w:szCs w:val="32"/>
          <w:lang w:val="en-US" w:eastAsia="zh-CN"/>
        </w:rPr>
        <w:t>的</w:t>
      </w:r>
      <w:r>
        <w:rPr>
          <w:rFonts w:hint="eastAsia" w:ascii="仿宋_GB2312" w:hAnsi="Calibri" w:eastAsia="仿宋_GB2312"/>
          <w:bCs/>
          <w:sz w:val="32"/>
          <w:szCs w:val="32"/>
        </w:rPr>
        <w:t>充分性，对预期绩效的可实现性和实施方案的可操作性进行有效论证</w:t>
      </w:r>
      <w:r>
        <w:rPr>
          <w:rFonts w:hint="eastAsia" w:ascii="仿宋_GB2312" w:hAnsi="仿宋_GB2312" w:eastAsia="仿宋_GB2312" w:cs="仿宋_GB2312"/>
          <w:sz w:val="32"/>
          <w:szCs w:val="32"/>
        </w:rPr>
        <w:t>，提高决策的科学性</w:t>
      </w:r>
      <w:r>
        <w:rPr>
          <w:rFonts w:hint="eastAsia" w:ascii="仿宋_GB2312" w:hAnsi="仿宋_GB2312" w:eastAsia="仿宋_GB2312" w:cs="仿宋_GB2312"/>
          <w:sz w:val="32"/>
          <w:szCs w:val="32"/>
          <w:lang w:eastAsia="zh-CN"/>
        </w:rPr>
        <w:t>；</w:t>
      </w:r>
      <w:r>
        <w:rPr>
          <w:rFonts w:hint="eastAsia" w:ascii="仿宋_GB2312" w:hAnsi="Calibri" w:eastAsia="仿宋_GB2312"/>
          <w:bCs/>
          <w:sz w:val="32"/>
          <w:szCs w:val="32"/>
          <w:lang w:val="en-US" w:eastAsia="zh-CN"/>
        </w:rPr>
        <w:t>提高</w:t>
      </w:r>
      <w:r>
        <w:rPr>
          <w:rFonts w:hint="eastAsia" w:ascii="仿宋_GB2312" w:hAnsi="Calibri" w:eastAsia="仿宋_GB2312"/>
          <w:bCs/>
          <w:sz w:val="32"/>
          <w:szCs w:val="32"/>
          <w:lang w:val="zh-CN"/>
        </w:rPr>
        <w:t>对项目绩效考评指标体系的理解，合理设定绩效</w:t>
      </w:r>
      <w:r>
        <w:rPr>
          <w:rFonts w:hint="eastAsia" w:ascii="仿宋_GB2312" w:hAnsi="Calibri" w:eastAsia="仿宋_GB2312"/>
          <w:bCs/>
          <w:sz w:val="32"/>
          <w:szCs w:val="32"/>
        </w:rPr>
        <w:t>目标和产出指标</w:t>
      </w:r>
      <w:r>
        <w:rPr>
          <w:rFonts w:hint="eastAsia" w:ascii="仿宋_GB2312" w:hAnsi="Calibri" w:eastAsia="仿宋_GB2312"/>
          <w:bCs/>
          <w:sz w:val="32"/>
          <w:szCs w:val="32"/>
          <w:lang w:eastAsia="zh-CN"/>
        </w:rPr>
        <w:t>，</w:t>
      </w:r>
      <w:r>
        <w:rPr>
          <w:rFonts w:hint="eastAsia" w:ascii="仿宋_GB2312" w:hAnsi="Calibri" w:eastAsia="仿宋_GB2312"/>
          <w:bCs/>
          <w:sz w:val="32"/>
          <w:szCs w:val="32"/>
          <w:lang w:val="en-US" w:eastAsia="zh-CN"/>
        </w:rPr>
        <w:t>指标设置</w:t>
      </w:r>
      <w:r>
        <w:rPr>
          <w:rFonts w:hint="eastAsia" w:ascii="仿宋_GB2312" w:hAnsi="Calibri" w:eastAsia="仿宋_GB2312"/>
          <w:bCs/>
          <w:sz w:val="32"/>
          <w:szCs w:val="32"/>
          <w:lang w:val="zh-CN"/>
        </w:rPr>
        <w:t>应细化、量化、可衡量</w:t>
      </w:r>
      <w:bookmarkStart w:id="54" w:name="_Toc12056"/>
      <w:r>
        <w:rPr>
          <w:rFonts w:hint="eastAsia" w:ascii="仿宋_GB2312" w:hAnsi="Calibri" w:eastAsia="仿宋_GB2312"/>
          <w:bCs/>
          <w:sz w:val="32"/>
          <w:szCs w:val="32"/>
          <w:lang w:val="zh-CN"/>
        </w:rPr>
        <w:t>，时效指标应体现时效性或计划完成时限。</w:t>
      </w:r>
    </w:p>
    <w:p>
      <w:pPr>
        <w:widowControl/>
        <w:spacing w:line="560" w:lineRule="exact"/>
        <w:ind w:firstLine="643" w:firstLineChars="200"/>
        <w:jc w:val="left"/>
        <w:outlineLvl w:val="1"/>
        <w:rPr>
          <w:rFonts w:ascii="楷体" w:hAnsi="楷体" w:eastAsia="楷体" w:cs="楷体"/>
          <w:b/>
          <w:bCs/>
          <w:sz w:val="32"/>
          <w:szCs w:val="32"/>
        </w:rPr>
      </w:pPr>
      <w:bookmarkStart w:id="55" w:name="_Toc26429"/>
      <w:r>
        <w:rPr>
          <w:rFonts w:hint="eastAsia" w:ascii="楷体" w:hAnsi="楷体" w:eastAsia="楷体" w:cs="楷体"/>
          <w:b/>
          <w:bCs/>
          <w:sz w:val="32"/>
          <w:szCs w:val="32"/>
        </w:rPr>
        <w:t>（二）项目管理方面</w:t>
      </w:r>
      <w:bookmarkEnd w:id="54"/>
      <w:bookmarkEnd w:id="5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加强对项目全过程管理的科学严谨和程序化，完善项目实施方案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w:t>
      </w:r>
      <w:r>
        <w:rPr>
          <w:rFonts w:hint="eastAsia" w:ascii="仿宋_GB2312" w:hAnsi="仿宋_GB2312" w:eastAsia="仿宋_GB2312" w:cs="仿宋_GB2312"/>
          <w:sz w:val="32"/>
          <w:szCs w:val="32"/>
          <w:lang w:val="en-US" w:eastAsia="zh-CN"/>
        </w:rPr>
        <w:t>验收程序</w:t>
      </w:r>
      <w:r>
        <w:rPr>
          <w:rFonts w:hint="eastAsia" w:ascii="仿宋_GB2312" w:hAnsi="仿宋_GB2312" w:eastAsia="仿宋_GB2312" w:cs="仿宋_GB2312"/>
          <w:sz w:val="32"/>
          <w:szCs w:val="32"/>
        </w:rPr>
        <w:t>和日常服务商的监管制度，</w:t>
      </w:r>
      <w:r>
        <w:rPr>
          <w:rFonts w:hint="eastAsia" w:ascii="仿宋_GB2312" w:hAnsi="仿宋_GB2312" w:eastAsia="仿宋_GB2312" w:cs="仿宋_GB2312"/>
          <w:sz w:val="32"/>
          <w:szCs w:val="32"/>
          <w:lang w:val="en-US" w:eastAsia="zh-CN"/>
        </w:rPr>
        <w:t>明确</w:t>
      </w:r>
      <w:r>
        <w:rPr>
          <w:rFonts w:hint="eastAsia" w:ascii="仿宋_GB2312" w:hAnsi="仿宋_GB2312" w:eastAsia="仿宋_GB2312" w:cs="仿宋_GB2312"/>
          <w:sz w:val="32"/>
          <w:szCs w:val="32"/>
        </w:rPr>
        <w:t>业务管理流程、日常管理、质量监控</w:t>
      </w:r>
      <w:r>
        <w:rPr>
          <w:rFonts w:hint="eastAsia" w:ascii="仿宋_GB2312" w:hAnsi="仿宋_GB2312" w:eastAsia="仿宋_GB2312" w:cs="仿宋_GB2312"/>
          <w:sz w:val="32"/>
          <w:szCs w:val="32"/>
          <w:lang w:val="en-US" w:eastAsia="zh-CN"/>
        </w:rPr>
        <w:t>等内容</w:t>
      </w:r>
      <w:r>
        <w:rPr>
          <w:rFonts w:hint="eastAsia" w:ascii="仿宋_GB2312" w:hAnsi="仿宋_GB2312" w:eastAsia="仿宋_GB2312" w:cs="仿宋_GB2312"/>
          <w:sz w:val="32"/>
          <w:szCs w:val="32"/>
        </w:rPr>
        <w:t>，有效指导项目实施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严格合同管理，完善对第三方服务商服务质量的监管，解决项目合同跨年问题，与预算年度</w:t>
      </w:r>
      <w:r>
        <w:rPr>
          <w:rFonts w:hint="eastAsia" w:ascii="仿宋_GB2312" w:hAnsi="仿宋_GB2312" w:eastAsia="仿宋_GB2312" w:cs="仿宋_GB2312"/>
          <w:sz w:val="32"/>
          <w:szCs w:val="32"/>
          <w:lang w:val="en-US" w:eastAsia="zh-CN"/>
        </w:rPr>
        <w:t>相</w:t>
      </w:r>
      <w:r>
        <w:rPr>
          <w:rFonts w:hint="eastAsia" w:ascii="仿宋_GB2312" w:hAnsi="仿宋_GB2312" w:eastAsia="仿宋_GB2312" w:cs="仿宋_GB2312"/>
          <w:sz w:val="32"/>
          <w:szCs w:val="32"/>
        </w:rPr>
        <w:t>匹配。按季度、年度开展云资源使用情况分析，并根据实际情况动态调整云资源。</w:t>
      </w:r>
    </w:p>
    <w:p>
      <w:pPr>
        <w:widowControl/>
        <w:spacing w:line="560" w:lineRule="exact"/>
        <w:ind w:firstLine="643" w:firstLineChars="200"/>
        <w:jc w:val="left"/>
        <w:outlineLvl w:val="1"/>
        <w:rPr>
          <w:rFonts w:ascii="楷体" w:hAnsi="楷体" w:eastAsia="楷体" w:cs="楷体"/>
          <w:b/>
          <w:bCs/>
          <w:sz w:val="32"/>
          <w:szCs w:val="32"/>
        </w:rPr>
      </w:pPr>
      <w:bookmarkStart w:id="56" w:name="_Toc20201"/>
      <w:bookmarkStart w:id="57" w:name="_Toc20354"/>
      <w:r>
        <w:rPr>
          <w:rFonts w:hint="eastAsia" w:ascii="楷体" w:hAnsi="楷体" w:eastAsia="楷体" w:cs="楷体"/>
          <w:b/>
          <w:bCs/>
          <w:sz w:val="32"/>
          <w:szCs w:val="32"/>
        </w:rPr>
        <w:t>（三）项目</w:t>
      </w:r>
      <w:r>
        <w:rPr>
          <w:rFonts w:hint="eastAsia" w:ascii="楷体" w:hAnsi="楷体" w:eastAsia="楷体" w:cs="楷体"/>
          <w:b/>
          <w:bCs/>
          <w:sz w:val="32"/>
          <w:szCs w:val="32"/>
          <w:lang w:val="en-US" w:eastAsia="zh-CN"/>
        </w:rPr>
        <w:t>产出效益</w:t>
      </w:r>
      <w:r>
        <w:rPr>
          <w:rFonts w:hint="eastAsia" w:ascii="楷体" w:hAnsi="楷体" w:eastAsia="楷体" w:cs="楷体"/>
          <w:b/>
          <w:bCs/>
          <w:sz w:val="32"/>
          <w:szCs w:val="32"/>
        </w:rPr>
        <w:t>方面</w:t>
      </w:r>
      <w:bookmarkEnd w:id="56"/>
      <w:bookmarkEnd w:id="57"/>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进一步增强项目预算绩效管理意识，及时归集项目绩效</w:t>
      </w:r>
      <w:r>
        <w:rPr>
          <w:rFonts w:hint="eastAsia" w:ascii="仿宋_GB2312" w:hAnsi="仿宋_GB2312" w:eastAsia="仿宋_GB2312" w:cs="仿宋_GB2312"/>
          <w:sz w:val="32"/>
          <w:szCs w:val="32"/>
        </w:rPr>
        <w:t>成果</w:t>
      </w:r>
      <w:r>
        <w:rPr>
          <w:rFonts w:ascii="仿宋_GB2312" w:hAnsi="仿宋_GB2312" w:eastAsia="仿宋_GB2312" w:cs="仿宋_GB2312"/>
          <w:sz w:val="32"/>
          <w:szCs w:val="32"/>
        </w:rPr>
        <w:t>资料，为全面呈现项目实施效果提供资料支撑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合理设定满意度服务对象调查范围，采取适当方式开展满意度调查，如微信公众号、调查问卷、随机抽查等，及时进行满意度调查统计分析，充分体现服务对象满意程度。</w:t>
      </w:r>
    </w:p>
    <w:p>
      <w:pPr>
        <w:spacing w:line="560" w:lineRule="exact"/>
        <w:ind w:firstLine="643" w:firstLineChars="200"/>
        <w:outlineLvl w:val="0"/>
        <w:rPr>
          <w:rFonts w:ascii="黑体" w:hAnsi="黑体" w:eastAsia="黑体" w:cs="黑体"/>
          <w:b/>
          <w:bCs/>
          <w:sz w:val="32"/>
          <w:szCs w:val="32"/>
        </w:rPr>
      </w:pPr>
      <w:bookmarkStart w:id="58" w:name="_Toc15526"/>
      <w:bookmarkStart w:id="59" w:name="_Toc27956"/>
      <w:r>
        <w:rPr>
          <w:rFonts w:hint="eastAsia" w:ascii="黑体" w:hAnsi="黑体" w:eastAsia="黑体" w:cs="黑体"/>
          <w:b/>
          <w:bCs/>
          <w:sz w:val="32"/>
          <w:szCs w:val="32"/>
        </w:rPr>
        <w:t>七、其他需要说明的问题</w:t>
      </w:r>
      <w:bookmarkEnd w:id="58"/>
      <w:bookmarkEnd w:id="59"/>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本报告主要是基于北京市</w:t>
      </w:r>
      <w:r>
        <w:rPr>
          <w:rFonts w:hint="eastAsia" w:ascii="仿宋_GB2312" w:hAnsi="宋体" w:eastAsia="仿宋_GB2312"/>
          <w:bCs/>
          <w:sz w:val="32"/>
          <w:szCs w:val="32"/>
          <w:lang w:val="en-US" w:eastAsia="zh-CN"/>
        </w:rPr>
        <w:t>总工会</w:t>
      </w:r>
      <w:r>
        <w:rPr>
          <w:rFonts w:hint="eastAsia" w:ascii="仿宋_GB2312" w:hAnsi="宋体" w:eastAsia="仿宋_GB2312"/>
          <w:bCs/>
          <w:sz w:val="32"/>
          <w:szCs w:val="32"/>
        </w:rPr>
        <w:t>收集的决策、过程、产出、效益方面的资料做出的评价，评价工作组对资料的真实性进行了适当的审查与线下沟通，但受资料完整性及线下沟通范围所限，并非每项指标的打分都有充分的资料支撑，个别指标主要是依据项目单位沟通结果及绩效评价专家的专业性判断。</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本次评价采取的是以项目单位为主、第三方机构协助、专家评价为辅的方式，本报告评价结论是借助管理、财务、业务专家的力量，在专家组评审意见基础上对项目做出的专业性的评价。</w:t>
      </w:r>
    </w:p>
    <w:p>
      <w:pPr>
        <w:spacing w:line="560" w:lineRule="exact"/>
        <w:ind w:firstLine="643" w:firstLineChars="200"/>
        <w:outlineLvl w:val="0"/>
        <w:rPr>
          <w:rFonts w:ascii="黑体" w:hAnsi="黑体" w:eastAsia="黑体"/>
          <w:b/>
          <w:kern w:val="0"/>
          <w:sz w:val="32"/>
          <w:szCs w:val="28"/>
        </w:rPr>
      </w:pPr>
      <w:bookmarkStart w:id="60" w:name="_Toc15441"/>
      <w:bookmarkStart w:id="61" w:name="_Toc15955"/>
      <w:r>
        <w:rPr>
          <w:rFonts w:hint="eastAsia" w:ascii="黑体" w:hAnsi="黑体" w:eastAsia="黑体"/>
          <w:b/>
          <w:kern w:val="0"/>
          <w:sz w:val="32"/>
          <w:szCs w:val="28"/>
        </w:rPr>
        <w:t>八、附件</w:t>
      </w:r>
      <w:bookmarkEnd w:id="60"/>
      <w:bookmarkEnd w:id="61"/>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1.项目预算执行情况表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2.项目绩效目标完成情况及收支明细表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3.专家意见汇总书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4.指标体系及</w:t>
      </w:r>
      <w:r>
        <w:rPr>
          <w:rFonts w:hint="eastAsia" w:ascii="仿宋_GB2312" w:hAnsi="仿宋_GB2312" w:eastAsia="仿宋_GB2312" w:cs="仿宋_GB2312"/>
          <w:sz w:val="32"/>
          <w:szCs w:val="32"/>
        </w:rPr>
        <w:t>评</w:t>
      </w:r>
      <w:r>
        <w:rPr>
          <w:rFonts w:ascii="仿宋_GB2312" w:hAnsi="仿宋_GB2312" w:eastAsia="仿宋_GB2312" w:cs="仿宋_GB2312"/>
          <w:sz w:val="32"/>
          <w:szCs w:val="32"/>
        </w:rPr>
        <w:t>分情况表</w:t>
      </w:r>
    </w:p>
    <w:p>
      <w:pPr>
        <w:widowControl/>
        <w:spacing w:line="560" w:lineRule="exact"/>
        <w:ind w:firstLine="640" w:firstLineChars="200"/>
        <w:rPr>
          <w:rFonts w:ascii="仿宋_GB2312" w:hAnsi="仿宋_GB2312" w:eastAsia="仿宋_GB2312" w:cs="仿宋_GB2312"/>
          <w:sz w:val="32"/>
          <w:szCs w:val="32"/>
        </w:rPr>
        <w:sectPr>
          <w:footerReference r:id="rId3" w:type="default"/>
          <w:pgSz w:w="11906" w:h="16838"/>
          <w:pgMar w:top="1440" w:right="1800" w:bottom="1440" w:left="1800" w:header="851" w:footer="992" w:gutter="0"/>
          <w:pgNumType w:start="1"/>
          <w:cols w:space="425" w:num="1"/>
          <w:docGrid w:type="lines" w:linePitch="312" w:charSpace="0"/>
        </w:sectPr>
      </w:pPr>
      <w:r>
        <w:rPr>
          <w:rFonts w:ascii="仿宋_GB2312" w:hAnsi="仿宋_GB2312" w:eastAsia="仿宋_GB2312" w:cs="仿宋_GB2312"/>
          <w:sz w:val="32"/>
          <w:szCs w:val="32"/>
        </w:rPr>
        <w:t>5.报告意见反馈表</w:t>
      </w:r>
    </w:p>
    <w:p>
      <w:pPr>
        <w:pStyle w:val="6"/>
        <w:spacing w:line="560" w:lineRule="exact"/>
        <w:rPr>
          <w:rFonts w:ascii="黑体" w:hAnsi="黑体" w:eastAsia="黑体" w:cs="黑体"/>
          <w:b w:val="0"/>
          <w:bCs w:val="0"/>
          <w:sz w:val="32"/>
          <w:szCs w:val="32"/>
        </w:rPr>
      </w:pPr>
      <w:bookmarkStart w:id="62" w:name="_Toc21288"/>
      <w:r>
        <w:rPr>
          <w:rFonts w:hint="eastAsia" w:ascii="黑体" w:hAnsi="黑体" w:eastAsia="黑体" w:cs="黑体"/>
          <w:b w:val="0"/>
          <w:bCs w:val="0"/>
          <w:sz w:val="32"/>
          <w:szCs w:val="32"/>
        </w:rPr>
        <w:t>附件1</w:t>
      </w:r>
      <w:bookmarkEnd w:id="62"/>
    </w:p>
    <w:p>
      <w:pPr>
        <w:pStyle w:val="18"/>
        <w:ind w:left="0" w:firstLine="0" w:firstLineChars="0"/>
        <w:rPr>
          <w:rFonts w:ascii="黑体" w:hAnsi="Times New Roman" w:eastAsia="黑体"/>
          <w:szCs w:val="24"/>
          <w:lang w:eastAsia="zh-Hans"/>
        </w:rPr>
      </w:pPr>
      <w:r>
        <w:rPr>
          <w:rFonts w:hint="eastAsia" w:ascii="Times New Roman" w:hAnsi="Times New Roman" w:eastAsia="仿宋_GB2312"/>
          <w:sz w:val="18"/>
          <w:szCs w:val="18"/>
        </w:rPr>
        <w:drawing>
          <wp:anchor distT="0" distB="0" distL="114300" distR="114300" simplePos="0" relativeHeight="251661312" behindDoc="0" locked="0" layoutInCell="1" allowOverlap="1">
            <wp:simplePos x="0" y="0"/>
            <wp:positionH relativeFrom="column">
              <wp:posOffset>228600</wp:posOffset>
            </wp:positionH>
            <wp:positionV relativeFrom="paragraph">
              <wp:posOffset>349250</wp:posOffset>
            </wp:positionV>
            <wp:extent cx="8818245" cy="3924935"/>
            <wp:effectExtent l="0" t="0" r="1905" b="8890"/>
            <wp:wrapTopAndBottom/>
            <wp:docPr id="5" name="图片 5" descr="1715765447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15765447007"/>
                    <pic:cNvPicPr>
                      <a:picLocks noChangeAspect="1"/>
                    </pic:cNvPicPr>
                  </pic:nvPicPr>
                  <pic:blipFill>
                    <a:blip r:embed="rId8"/>
                    <a:stretch>
                      <a:fillRect/>
                    </a:stretch>
                  </pic:blipFill>
                  <pic:spPr>
                    <a:xfrm>
                      <a:off x="0" y="0"/>
                      <a:ext cx="8818245" cy="3924935"/>
                    </a:xfrm>
                    <a:prstGeom prst="rect">
                      <a:avLst/>
                    </a:prstGeom>
                  </pic:spPr>
                </pic:pic>
              </a:graphicData>
            </a:graphic>
          </wp:anchor>
        </w:drawing>
      </w:r>
    </w:p>
    <w:p>
      <w:pPr>
        <w:pStyle w:val="18"/>
        <w:ind w:left="0" w:firstLine="0" w:firstLineChars="0"/>
        <w:rPr>
          <w:rFonts w:ascii="黑体" w:hAnsi="Times New Roman" w:eastAsia="黑体"/>
          <w:szCs w:val="24"/>
          <w:lang w:eastAsia="zh-Hans"/>
        </w:rPr>
      </w:pPr>
    </w:p>
    <w:p>
      <w:pPr>
        <w:pStyle w:val="28"/>
        <w:spacing w:line="200" w:lineRule="atLeast"/>
        <w:ind w:firstLine="360"/>
        <w:rPr>
          <w:rFonts w:eastAsia="仿宋_GB2312"/>
          <w:sz w:val="18"/>
          <w:szCs w:val="18"/>
        </w:rPr>
        <w:sectPr>
          <w:footerReference r:id="rId4" w:type="default"/>
          <w:pgSz w:w="16838" w:h="11906" w:orient="landscape"/>
          <w:pgMar w:top="963" w:right="1440" w:bottom="1063" w:left="1440" w:header="851" w:footer="992" w:gutter="0"/>
          <w:cols w:space="720" w:num="1"/>
          <w:docGrid w:type="lines" w:linePitch="319" w:charSpace="0"/>
        </w:sectPr>
      </w:pPr>
    </w:p>
    <w:tbl>
      <w:tblPr>
        <w:tblStyle w:val="20"/>
        <w:tblW w:w="8878" w:type="dxa"/>
        <w:tblInd w:w="96" w:type="dxa"/>
        <w:tblLayout w:type="fixed"/>
        <w:tblCellMar>
          <w:top w:w="0" w:type="dxa"/>
          <w:left w:w="108" w:type="dxa"/>
          <w:bottom w:w="0" w:type="dxa"/>
          <w:right w:w="108" w:type="dxa"/>
        </w:tblCellMar>
      </w:tblPr>
      <w:tblGrid>
        <w:gridCol w:w="1422"/>
        <w:gridCol w:w="3346"/>
        <w:gridCol w:w="1950"/>
        <w:gridCol w:w="2160"/>
      </w:tblGrid>
      <w:tr>
        <w:tblPrEx>
          <w:tblCellMar>
            <w:top w:w="0" w:type="dxa"/>
            <w:left w:w="108" w:type="dxa"/>
            <w:bottom w:w="0" w:type="dxa"/>
            <w:right w:w="108" w:type="dxa"/>
          </w:tblCellMar>
        </w:tblPrEx>
        <w:trPr>
          <w:trHeight w:val="480" w:hRule="atLeast"/>
        </w:trPr>
        <w:tc>
          <w:tcPr>
            <w:tcW w:w="1422" w:type="dxa"/>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r>
              <w:rPr>
                <w:rFonts w:hint="eastAsia" w:ascii="黑体" w:hAnsi="黑体" w:eastAsia="黑体" w:cs="黑体"/>
                <w:sz w:val="32"/>
                <w:szCs w:val="32"/>
              </w:rPr>
              <w:t>附件2</w:t>
            </w:r>
          </w:p>
        </w:tc>
        <w:tc>
          <w:tcPr>
            <w:tcW w:w="3346"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950" w:type="dxa"/>
            <w:tcBorders>
              <w:top w:val="nil"/>
              <w:left w:val="nil"/>
              <w:bottom w:val="nil"/>
              <w:right w:val="nil"/>
            </w:tcBorders>
            <w:shd w:val="clear" w:color="auto" w:fill="auto"/>
            <w:noWrap/>
            <w:vAlign w:val="center"/>
          </w:tcPr>
          <w:p>
            <w:pPr>
              <w:jc w:val="center"/>
              <w:rPr>
                <w:rFonts w:ascii="宋体" w:hAnsi="宋体" w:cs="宋体"/>
                <w:color w:val="000000"/>
                <w:sz w:val="22"/>
                <w:szCs w:val="22"/>
              </w:rPr>
            </w:pPr>
          </w:p>
        </w:tc>
        <w:tc>
          <w:tcPr>
            <w:tcW w:w="2160" w:type="dxa"/>
            <w:tcBorders>
              <w:top w:val="nil"/>
              <w:left w:val="nil"/>
              <w:bottom w:val="nil"/>
              <w:right w:val="nil"/>
            </w:tcBorders>
            <w:shd w:val="clear" w:color="auto" w:fill="auto"/>
            <w:noWrap/>
            <w:vAlign w:val="center"/>
          </w:tcPr>
          <w:p>
            <w:pPr>
              <w:jc w:val="center"/>
              <w:rPr>
                <w:rFonts w:ascii="黑体" w:hAnsi="宋体" w:eastAsia="黑体" w:cs="黑体"/>
                <w:color w:val="000000"/>
                <w:sz w:val="28"/>
                <w:szCs w:val="28"/>
              </w:rPr>
            </w:pPr>
          </w:p>
        </w:tc>
      </w:tr>
      <w:tr>
        <w:tblPrEx>
          <w:tblCellMar>
            <w:top w:w="0" w:type="dxa"/>
            <w:left w:w="108" w:type="dxa"/>
            <w:bottom w:w="0" w:type="dxa"/>
            <w:right w:w="108" w:type="dxa"/>
          </w:tblCellMar>
        </w:tblPrEx>
        <w:trPr>
          <w:trHeight w:val="840" w:hRule="atLeast"/>
        </w:trPr>
        <w:tc>
          <w:tcPr>
            <w:tcW w:w="887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项目绩效目标完成情况及收支明细表</w:t>
            </w:r>
          </w:p>
        </w:tc>
      </w:tr>
      <w:tr>
        <w:tblPrEx>
          <w:tblCellMar>
            <w:top w:w="0" w:type="dxa"/>
            <w:left w:w="108" w:type="dxa"/>
            <w:bottom w:w="0" w:type="dxa"/>
            <w:right w:w="108" w:type="dxa"/>
          </w:tblCellMar>
        </w:tblPrEx>
        <w:trPr>
          <w:trHeight w:val="600" w:hRule="atLeast"/>
        </w:trPr>
        <w:tc>
          <w:tcPr>
            <w:tcW w:w="47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审核人：</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22"/>
                <w:szCs w:val="22"/>
              </w:rPr>
            </w:pP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单位：万元</w:t>
            </w:r>
          </w:p>
        </w:tc>
      </w:tr>
      <w:tr>
        <w:tblPrEx>
          <w:tblCellMar>
            <w:top w:w="0" w:type="dxa"/>
            <w:left w:w="108" w:type="dxa"/>
            <w:bottom w:w="0" w:type="dxa"/>
            <w:right w:w="108" w:type="dxa"/>
          </w:tblCellMar>
        </w:tblPrEx>
        <w:trPr>
          <w:trHeight w:val="402" w:hRule="atLeast"/>
        </w:trPr>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绩效目标</w:t>
            </w:r>
          </w:p>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完成情况</w:t>
            </w: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目标内容</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目标调整情况</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实际完成情况</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租用政务云云主机数量=301台</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无</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已完成</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系统正常运行率≥99.99%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无</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已完成</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验收时间≤12月</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无</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已完成</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项目预算控制数</w:t>
            </w:r>
          </w:p>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≤483.626037万元</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无</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已完成</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集约化资源能力进一步提升</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无</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已完成</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使用人员满意</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无</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已完成</w:t>
            </w:r>
          </w:p>
        </w:tc>
      </w:tr>
      <w:tr>
        <w:tblPrEx>
          <w:tblCellMar>
            <w:top w:w="0" w:type="dxa"/>
            <w:left w:w="108" w:type="dxa"/>
            <w:bottom w:w="0" w:type="dxa"/>
            <w:right w:w="108" w:type="dxa"/>
          </w:tblCellMar>
        </w:tblPrEx>
        <w:trPr>
          <w:trHeight w:val="402" w:hRule="atLeast"/>
        </w:trPr>
        <w:tc>
          <w:tcPr>
            <w:tcW w:w="142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资金到位</w:t>
            </w:r>
          </w:p>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情况</w:t>
            </w: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项目资金</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预算批复数</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资金到位情况</w:t>
            </w:r>
          </w:p>
        </w:tc>
      </w:tr>
      <w:tr>
        <w:tblPrEx>
          <w:tblCellMar>
            <w:top w:w="0" w:type="dxa"/>
            <w:left w:w="108" w:type="dxa"/>
            <w:bottom w:w="0" w:type="dxa"/>
            <w:right w:w="108" w:type="dxa"/>
          </w:tblCellMar>
        </w:tblPrEx>
        <w:trPr>
          <w:trHeight w:val="402" w:hRule="atLeast"/>
        </w:trPr>
        <w:tc>
          <w:tcPr>
            <w:tcW w:w="1422" w:type="dxa"/>
            <w:vMerge w:val="continue"/>
            <w:tcBorders>
              <w:left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财政拨款</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 xml:space="preserve">406.96 </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 xml:space="preserve">406.96 </w:t>
            </w:r>
          </w:p>
        </w:tc>
      </w:tr>
      <w:tr>
        <w:tblPrEx>
          <w:tblCellMar>
            <w:top w:w="0" w:type="dxa"/>
            <w:left w:w="108" w:type="dxa"/>
            <w:bottom w:w="0" w:type="dxa"/>
            <w:right w:w="108" w:type="dxa"/>
          </w:tblCellMar>
        </w:tblPrEx>
        <w:trPr>
          <w:trHeight w:val="402" w:hRule="atLeast"/>
        </w:trPr>
        <w:tc>
          <w:tcPr>
            <w:tcW w:w="142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合计</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406.96</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406.96</w:t>
            </w:r>
          </w:p>
        </w:tc>
      </w:tr>
      <w:tr>
        <w:tblPrEx>
          <w:tblCellMar>
            <w:top w:w="0" w:type="dxa"/>
            <w:left w:w="108" w:type="dxa"/>
            <w:bottom w:w="0" w:type="dxa"/>
            <w:right w:w="108" w:type="dxa"/>
          </w:tblCellMar>
        </w:tblPrEx>
        <w:trPr>
          <w:trHeight w:val="402" w:hRule="atLeast"/>
        </w:trPr>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资金支出</w:t>
            </w:r>
          </w:p>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情况</w:t>
            </w: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项目预算支出明细</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预算批复数</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实际支出数</w:t>
            </w:r>
          </w:p>
        </w:tc>
      </w:tr>
      <w:tr>
        <w:tblPrEx>
          <w:tblCellMar>
            <w:top w:w="0" w:type="dxa"/>
            <w:left w:w="108" w:type="dxa"/>
            <w:bottom w:w="0" w:type="dxa"/>
            <w:right w:w="108" w:type="dxa"/>
          </w:tblCellMar>
        </w:tblPrEx>
        <w:trPr>
          <w:trHeight w:val="402" w:hRule="atLeast"/>
        </w:trPr>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3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政务云服务</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 xml:space="preserve">406.96 </w:t>
            </w:r>
          </w:p>
        </w:tc>
        <w:tc>
          <w:tcPr>
            <w:tcW w:w="2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 xml:space="preserve">406.96 </w:t>
            </w:r>
          </w:p>
        </w:tc>
      </w:tr>
    </w:tbl>
    <w:p>
      <w:pPr>
        <w:pStyle w:val="28"/>
        <w:rPr>
          <w:rFonts w:ascii="仿宋_GB2312" w:hAnsi="Times New Roman Regular" w:eastAsia="仿宋_GB2312" w:cs="Times New Roman Regular"/>
          <w:szCs w:val="21"/>
        </w:rPr>
      </w:pPr>
    </w:p>
    <w:p>
      <w:pPr>
        <w:pStyle w:val="28"/>
        <w:rPr>
          <w:rFonts w:ascii="Times New Roman Regular" w:hAnsi="Times New Roman Regular" w:eastAsia="仿宋_GB2312" w:cs="Times New Roman Regular"/>
          <w:szCs w:val="21"/>
        </w:rPr>
      </w:pPr>
      <w:r>
        <w:rPr>
          <w:rFonts w:hint="eastAsia" w:ascii="仿宋_GB2312" w:hAnsi="Times New Roman Regular" w:eastAsia="仿宋_GB2312" w:cs="Times New Roman Regular"/>
          <w:szCs w:val="21"/>
        </w:rPr>
        <w:t>注：1.预算批复数为项目年度批复的预算数，包含年初批复和年中的追加核减数；</w:t>
      </w:r>
    </w:p>
    <w:p>
      <w:pPr>
        <w:pStyle w:val="28"/>
        <w:rPr>
          <w:rFonts w:ascii="Times New Roman Regular" w:hAnsi="Times New Roman Regular" w:eastAsia="仿宋_GB2312" w:cs="Times New Roman Regular"/>
          <w:szCs w:val="21"/>
        </w:rPr>
      </w:pPr>
      <w:r>
        <w:rPr>
          <w:rFonts w:ascii="Times New Roman Regular" w:hAnsi="Times New Roman Regular" w:eastAsia="仿宋_GB2312" w:cs="Times New Roman Regular"/>
          <w:szCs w:val="21"/>
        </w:rPr>
        <w:t xml:space="preserve">    2.</w:t>
      </w:r>
      <w:r>
        <w:rPr>
          <w:rFonts w:hint="eastAsia" w:ascii="仿宋_GB2312" w:hAnsi="Times New Roman Regular" w:eastAsia="仿宋_GB2312" w:cs="Times New Roman Regular"/>
          <w:szCs w:val="21"/>
        </w:rPr>
        <w:t>实际支出数是指对应项目明细的实际支出数。</w:t>
      </w:r>
    </w:p>
    <w:p>
      <w:pPr>
        <w:pStyle w:val="28"/>
        <w:rPr>
          <w:rFonts w:ascii="Times New Roman Regular" w:hAnsi="Times New Roman Regular" w:eastAsia="仿宋_GB2312" w:cs="Times New Roman Regular"/>
          <w:szCs w:val="21"/>
        </w:rPr>
        <w:sectPr>
          <w:footerReference r:id="rId5" w:type="default"/>
          <w:pgSz w:w="11910" w:h="16840"/>
          <w:pgMar w:top="780" w:right="1474" w:bottom="280" w:left="1587" w:header="720" w:footer="720" w:gutter="0"/>
          <w:cols w:space="720" w:num="1"/>
          <w:docGrid w:type="lines" w:linePitch="315" w:charSpace="0"/>
        </w:sectPr>
      </w:pPr>
      <w:r>
        <w:rPr>
          <w:rFonts w:ascii="Times New Roman Regular" w:hAnsi="Times New Roman Regular" w:eastAsia="仿宋_GB2312" w:cs="Times New Roman Regular"/>
          <w:szCs w:val="21"/>
        </w:rPr>
        <w:t xml:space="preserve">    3.</w:t>
      </w:r>
      <w:r>
        <w:rPr>
          <w:rFonts w:hint="eastAsia" w:ascii="仿宋_GB2312" w:hAnsi="Times New Roman Regular" w:eastAsia="仿宋_GB2312" w:cs="Times New Roman Regular"/>
          <w:szCs w:val="21"/>
        </w:rPr>
        <w:t>表中数据以单位实际账面数据为准，保留小数点后两位数字。</w:t>
      </w:r>
    </w:p>
    <w:p>
      <w:pPr>
        <w:pStyle w:val="6"/>
        <w:spacing w:line="560" w:lineRule="exact"/>
        <w:rPr>
          <w:rFonts w:ascii="黑体" w:hAnsi="黑体" w:eastAsia="黑体" w:cs="黑体"/>
          <w:b w:val="0"/>
          <w:bCs w:val="0"/>
          <w:sz w:val="32"/>
          <w:szCs w:val="32"/>
        </w:rPr>
      </w:pPr>
      <w:bookmarkStart w:id="63" w:name="_Toc24575"/>
      <w:r>
        <w:rPr>
          <w:rFonts w:hint="eastAsia" w:ascii="黑体" w:hAnsi="黑体" w:eastAsia="黑体" w:cs="黑体"/>
          <w:b w:val="0"/>
          <w:bCs w:val="0"/>
          <w:sz w:val="32"/>
          <w:szCs w:val="32"/>
        </w:rPr>
        <w:t>附件3</w:t>
      </w:r>
      <w:bookmarkEnd w:id="63"/>
    </w:p>
    <w:p>
      <w:pPr>
        <w:pStyle w:val="18"/>
        <w:spacing w:before="0"/>
        <w:ind w:left="0" w:firstLine="0" w:firstLineChars="0"/>
        <w:rPr>
          <w:rFonts w:hint="eastAsia" w:eastAsia="仿宋"/>
          <w:lang w:eastAsia="zh-CN"/>
        </w:rPr>
        <w:sectPr>
          <w:footerReference r:id="rId6" w:type="default"/>
          <w:pgSz w:w="11906" w:h="16838"/>
          <w:pgMar w:top="1440" w:right="1800" w:bottom="1440" w:left="1800" w:header="851" w:footer="992" w:gutter="0"/>
          <w:cols w:space="425" w:num="1"/>
          <w:docGrid w:type="lines" w:linePitch="312" w:charSpace="0"/>
        </w:sectPr>
      </w:pPr>
      <w:r>
        <w:rPr>
          <w:rFonts w:hint="eastAsia" w:eastAsia="仿宋"/>
          <w:lang w:eastAsia="zh-CN"/>
        </w:rPr>
        <w:drawing>
          <wp:inline distT="0" distB="0" distL="114300" distR="114300">
            <wp:extent cx="5267960" cy="7452360"/>
            <wp:effectExtent l="0" t="0" r="8890" b="5715"/>
            <wp:docPr id="4" name="图片 4" descr="9-政务云服务项目支出财政绩效评价专家意见汇总书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政务云服务项目支出财政绩效评价专家意见汇总书_00"/>
                    <pic:cNvPicPr>
                      <a:picLocks noChangeAspect="1"/>
                    </pic:cNvPicPr>
                  </pic:nvPicPr>
                  <pic:blipFill>
                    <a:blip r:embed="rId9"/>
                    <a:stretch>
                      <a:fillRect/>
                    </a:stretch>
                  </pic:blipFill>
                  <pic:spPr>
                    <a:xfrm>
                      <a:off x="0" y="0"/>
                      <a:ext cx="5267960" cy="7452360"/>
                    </a:xfrm>
                    <a:prstGeom prst="rect">
                      <a:avLst/>
                    </a:prstGeom>
                  </pic:spPr>
                </pic:pic>
              </a:graphicData>
            </a:graphic>
          </wp:inline>
        </w:drawing>
      </w:r>
    </w:p>
    <w:p>
      <w:pPr>
        <w:pStyle w:val="18"/>
        <w:spacing w:before="0"/>
        <w:ind w:left="0" w:firstLine="0" w:firstLineChars="0"/>
        <w:rPr>
          <w:rFonts w:hint="eastAsia" w:eastAsia="仿宋"/>
          <w:lang w:eastAsia="zh-CN"/>
        </w:rPr>
        <w:sectPr>
          <w:pgSz w:w="11906" w:h="16838"/>
          <w:pgMar w:top="1440" w:right="1800" w:bottom="1440" w:left="1800" w:header="851" w:footer="992" w:gutter="0"/>
          <w:cols w:space="425" w:num="1"/>
          <w:docGrid w:type="lines" w:linePitch="312" w:charSpace="0"/>
        </w:sectPr>
      </w:pPr>
      <w:r>
        <w:rPr>
          <w:rFonts w:hint="eastAsia" w:eastAsia="仿宋"/>
          <w:lang w:eastAsia="zh-CN"/>
        </w:rPr>
        <w:drawing>
          <wp:inline distT="0" distB="0" distL="114300" distR="114300">
            <wp:extent cx="5267960" cy="7452360"/>
            <wp:effectExtent l="0" t="0" r="8890" b="5715"/>
            <wp:docPr id="6" name="图片 6" descr="9-政务云服务项目支出财政绩效评价专家意见汇总书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9-政务云服务项目支出财政绩效评价专家意见汇总书_01"/>
                    <pic:cNvPicPr>
                      <a:picLocks noChangeAspect="1"/>
                    </pic:cNvPicPr>
                  </pic:nvPicPr>
                  <pic:blipFill>
                    <a:blip r:embed="rId10"/>
                    <a:stretch>
                      <a:fillRect/>
                    </a:stretch>
                  </pic:blipFill>
                  <pic:spPr>
                    <a:xfrm>
                      <a:off x="0" y="0"/>
                      <a:ext cx="5267960" cy="7452360"/>
                    </a:xfrm>
                    <a:prstGeom prst="rect">
                      <a:avLst/>
                    </a:prstGeom>
                  </pic:spPr>
                </pic:pic>
              </a:graphicData>
            </a:graphic>
          </wp:inline>
        </w:drawing>
      </w:r>
    </w:p>
    <w:p>
      <w:pPr>
        <w:pStyle w:val="18"/>
        <w:spacing w:before="0"/>
        <w:ind w:left="0" w:firstLine="0" w:firstLineChars="0"/>
        <w:rPr>
          <w:rFonts w:hint="eastAsia" w:eastAsia="仿宋"/>
          <w:lang w:eastAsia="zh-CN"/>
        </w:rPr>
        <w:sectPr>
          <w:pgSz w:w="11906" w:h="16838"/>
          <w:pgMar w:top="1440" w:right="1800" w:bottom="1440" w:left="1800" w:header="851" w:footer="992" w:gutter="0"/>
          <w:cols w:space="425" w:num="1"/>
          <w:docGrid w:type="lines" w:linePitch="312" w:charSpace="0"/>
        </w:sectPr>
      </w:pPr>
      <w:r>
        <w:rPr>
          <w:rFonts w:hint="eastAsia" w:eastAsia="仿宋"/>
          <w:lang w:eastAsia="zh-CN"/>
        </w:rPr>
        <w:drawing>
          <wp:inline distT="0" distB="0" distL="114300" distR="114300">
            <wp:extent cx="5269865" cy="7452995"/>
            <wp:effectExtent l="0" t="0" r="3175" b="14605"/>
            <wp:docPr id="7" name="图片 7" descr="9-北京市政府购买服务项目支出财政绩效评价专家意见汇总书-2023年政务云服务项目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北京市政府购买服务项目支出财政绩效评价专家意见汇总书-2023年政务云服务项目_02"/>
                    <pic:cNvPicPr>
                      <a:picLocks noChangeAspect="1"/>
                    </pic:cNvPicPr>
                  </pic:nvPicPr>
                  <pic:blipFill>
                    <a:blip r:embed="rId11"/>
                    <a:stretch>
                      <a:fillRect/>
                    </a:stretch>
                  </pic:blipFill>
                  <pic:spPr>
                    <a:xfrm>
                      <a:off x="0" y="0"/>
                      <a:ext cx="5269865" cy="7452995"/>
                    </a:xfrm>
                    <a:prstGeom prst="rect">
                      <a:avLst/>
                    </a:prstGeom>
                  </pic:spPr>
                </pic:pic>
              </a:graphicData>
            </a:graphic>
          </wp:inline>
        </w:drawing>
      </w:r>
    </w:p>
    <w:p>
      <w:pPr>
        <w:pStyle w:val="18"/>
        <w:spacing w:before="0"/>
        <w:ind w:left="0" w:firstLine="0" w:firstLineChars="0"/>
        <w:rPr>
          <w:rFonts w:hint="eastAsia" w:eastAsia="仿宋"/>
          <w:lang w:eastAsia="zh-CN"/>
        </w:rPr>
        <w:sectPr>
          <w:pgSz w:w="11906" w:h="16838"/>
          <w:pgMar w:top="1440" w:right="1800" w:bottom="1440" w:left="1800" w:header="851" w:footer="992" w:gutter="0"/>
          <w:cols w:space="425" w:num="1"/>
          <w:docGrid w:type="lines" w:linePitch="312" w:charSpace="0"/>
        </w:sectPr>
      </w:pPr>
      <w:r>
        <w:rPr>
          <w:rFonts w:hint="eastAsia" w:eastAsia="仿宋"/>
          <w:lang w:eastAsia="zh-CN"/>
        </w:rPr>
        <w:drawing>
          <wp:anchor distT="0" distB="0" distL="114300" distR="114300" simplePos="0" relativeHeight="251662336" behindDoc="0" locked="0" layoutInCell="1" allowOverlap="1">
            <wp:simplePos x="0" y="0"/>
            <wp:positionH relativeFrom="column">
              <wp:posOffset>-76200</wp:posOffset>
            </wp:positionH>
            <wp:positionV relativeFrom="paragraph">
              <wp:posOffset>-12700</wp:posOffset>
            </wp:positionV>
            <wp:extent cx="5428615" cy="7484110"/>
            <wp:effectExtent l="0" t="0" r="12065" b="13970"/>
            <wp:wrapSquare wrapText="bothSides"/>
            <wp:docPr id="3" name="图片 3" descr="D:/国誉/3-2024年/20-2024-咨询（其他）（绩效评价和内控）北京市总工会-预计35/C 完成/绩效/9-政务云服务项目支出财政绩效评价专家意见汇总书_03.jpg9-政务云服务项目支出财政绩效评价专家意见汇总书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国誉/3-2024年/20-2024-咨询（其他）（绩效评价和内控）北京市总工会-预计35/C 完成/绩效/9-政务云服务项目支出财政绩效评价专家意见汇总书_03.jpg9-政务云服务项目支出财政绩效评价专家意见汇总书_03"/>
                    <pic:cNvPicPr>
                      <a:picLocks noChangeAspect="1"/>
                    </pic:cNvPicPr>
                  </pic:nvPicPr>
                  <pic:blipFill>
                    <a:blip r:embed="rId12"/>
                    <a:srcRect l="4" r="4"/>
                    <a:stretch>
                      <a:fillRect/>
                    </a:stretch>
                  </pic:blipFill>
                  <pic:spPr>
                    <a:xfrm>
                      <a:off x="0" y="0"/>
                      <a:ext cx="5428615" cy="7484110"/>
                    </a:xfrm>
                    <a:prstGeom prst="rect">
                      <a:avLst/>
                    </a:prstGeom>
                  </pic:spPr>
                </pic:pic>
              </a:graphicData>
            </a:graphic>
          </wp:anchor>
        </w:drawing>
      </w:r>
    </w:p>
    <w:p>
      <w:pPr>
        <w:pStyle w:val="6"/>
        <w:spacing w:line="560" w:lineRule="exact"/>
        <w:rPr>
          <w:rFonts w:ascii="黑体" w:hAnsi="黑体" w:eastAsia="黑体" w:cs="黑体"/>
          <w:b w:val="0"/>
          <w:bCs w:val="0"/>
          <w:sz w:val="32"/>
          <w:szCs w:val="32"/>
        </w:rPr>
      </w:pPr>
      <w:bookmarkStart w:id="64" w:name="_Toc5282"/>
      <w:r>
        <w:rPr>
          <w:rFonts w:hint="eastAsia" w:ascii="黑体" w:hAnsi="黑体" w:eastAsia="黑体" w:cs="黑体"/>
          <w:b w:val="0"/>
          <w:bCs w:val="0"/>
          <w:sz w:val="32"/>
          <w:szCs w:val="32"/>
        </w:rPr>
        <w:t>附件4</w:t>
      </w:r>
      <w:bookmarkEnd w:id="64"/>
    </w:p>
    <w:p>
      <w:pPr>
        <w:jc w:val="center"/>
        <w:rPr>
          <w:rFonts w:ascii="方正小标宋简体" w:eastAsia="方正小标宋简体"/>
          <w:sz w:val="44"/>
          <w:szCs w:val="44"/>
        </w:rPr>
      </w:pPr>
      <w:bookmarkStart w:id="65" w:name="_Toc515867883"/>
      <w:bookmarkStart w:id="66" w:name="_Toc6658"/>
      <w:r>
        <w:rPr>
          <w:rFonts w:hint="eastAsia" w:ascii="方正小标宋简体" w:eastAsia="方正小标宋简体"/>
          <w:sz w:val="44"/>
          <w:szCs w:val="44"/>
        </w:rPr>
        <w:t>项目支出指标体系及评分情况表</w:t>
      </w:r>
      <w:bookmarkEnd w:id="65"/>
      <w:bookmarkEnd w:id="66"/>
    </w:p>
    <w:tbl>
      <w:tblPr>
        <w:tblStyle w:val="20"/>
        <w:tblW w:w="9878" w:type="dxa"/>
        <w:jc w:val="center"/>
        <w:tblLayout w:type="fixed"/>
        <w:tblCellMar>
          <w:top w:w="0" w:type="dxa"/>
          <w:left w:w="108" w:type="dxa"/>
          <w:bottom w:w="0" w:type="dxa"/>
          <w:right w:w="108" w:type="dxa"/>
        </w:tblCellMar>
      </w:tblPr>
      <w:tblGrid>
        <w:gridCol w:w="1269"/>
        <w:gridCol w:w="937"/>
        <w:gridCol w:w="2259"/>
        <w:gridCol w:w="910"/>
        <w:gridCol w:w="975"/>
        <w:gridCol w:w="3528"/>
      </w:tblGrid>
      <w:tr>
        <w:tblPrEx>
          <w:tblCellMar>
            <w:top w:w="0" w:type="dxa"/>
            <w:left w:w="108" w:type="dxa"/>
            <w:bottom w:w="0" w:type="dxa"/>
            <w:right w:w="108" w:type="dxa"/>
          </w:tblCellMar>
        </w:tblPrEx>
        <w:trPr>
          <w:trHeight w:val="800" w:hRule="atLeast"/>
          <w:tblHeader/>
          <w:jc w:val="center"/>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一级指标</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二级指标</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三级指标</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分值</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得分</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扣分原因</w:t>
            </w:r>
          </w:p>
        </w:tc>
      </w:tr>
      <w:tr>
        <w:tblPrEx>
          <w:tblCellMar>
            <w:top w:w="0" w:type="dxa"/>
            <w:left w:w="108" w:type="dxa"/>
            <w:bottom w:w="0" w:type="dxa"/>
            <w:right w:w="108" w:type="dxa"/>
          </w:tblCellMar>
        </w:tblPrEx>
        <w:trPr>
          <w:trHeight w:val="593" w:hRule="atLeast"/>
          <w:jc w:val="center"/>
        </w:trPr>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决策</w:t>
            </w:r>
          </w:p>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（20分）</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项目立项</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立项依据充分性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3.90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立项依据比较充分</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立项程序规范性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3.30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可研论证充分性不足，缺少专家论证</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绩效目标</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绩效目标合理性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3.20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绩效目标设置量化不足</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绩效指标明确性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3.00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绩效指标设置效益指标笼统，缺少衡量评价依据</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资金投入</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预算编制科学性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3.30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预算额度测算依据不够充分，与预算年度不够匹配。</w:t>
            </w:r>
          </w:p>
        </w:tc>
      </w:tr>
      <w:tr>
        <w:tblPrEx>
          <w:tblCellMar>
            <w:top w:w="0" w:type="dxa"/>
            <w:left w:w="108" w:type="dxa"/>
            <w:bottom w:w="0" w:type="dxa"/>
            <w:right w:w="108" w:type="dxa"/>
          </w:tblCellMar>
        </w:tblPrEx>
        <w:trPr>
          <w:trHeight w:val="1400" w:hRule="atLeast"/>
          <w:jc w:val="center"/>
        </w:trPr>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过程</w:t>
            </w:r>
          </w:p>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（20分）</w:t>
            </w: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资金管理</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预算执行率</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highlight w:val="yellow"/>
              </w:rPr>
            </w:pPr>
            <w:r>
              <w:rPr>
                <w:rFonts w:hint="eastAsia" w:ascii="仿宋_GB2312" w:hAnsi="仿宋_GB2312" w:eastAsia="仿宋_GB2312" w:cs="仿宋_GB2312"/>
                <w:color w:val="000000"/>
                <w:kern w:val="0"/>
                <w:sz w:val="28"/>
                <w:szCs w:val="28"/>
                <w:shd w:val="clear" w:color="auto" w:fill="FFFFFF" w:themeFill="background1"/>
                <w:lang w:bidi="ar"/>
              </w:rPr>
              <w:t>2.90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差异数为跨年合同导致</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资金使用合规性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4.00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业务管理</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管理制度健全性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2.20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缺少必要的项目管理制度，未制定有效的实施方案</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制度执行有效性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8.80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过程管理质量控制体现不足，支撑材料不够充分</w:t>
            </w:r>
          </w:p>
        </w:tc>
      </w:tr>
      <w:tr>
        <w:tblPrEx>
          <w:tblCellMar>
            <w:top w:w="0" w:type="dxa"/>
            <w:left w:w="108" w:type="dxa"/>
            <w:bottom w:w="0" w:type="dxa"/>
            <w:right w:w="108" w:type="dxa"/>
          </w:tblCellMar>
        </w:tblPrEx>
        <w:trPr>
          <w:trHeight w:val="1400" w:hRule="atLeast"/>
          <w:jc w:val="center"/>
        </w:trPr>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产出</w:t>
            </w:r>
          </w:p>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（30分）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产出数量</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实际完成率</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9.80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缺少佐证材料</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产出质量</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质量达标率</w:t>
            </w:r>
          </w:p>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（验收合格率）</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9.00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缺少相关证明材料</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产出时效</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完成及时性</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4.80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跨年合同，无完整程序</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产出成本</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成本节约率</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4.90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缺少数据及资料支撑</w:t>
            </w:r>
          </w:p>
        </w:tc>
      </w:tr>
      <w:tr>
        <w:tblPrEx>
          <w:tblCellMar>
            <w:top w:w="0" w:type="dxa"/>
            <w:left w:w="108" w:type="dxa"/>
            <w:bottom w:w="0" w:type="dxa"/>
            <w:right w:w="108" w:type="dxa"/>
          </w:tblCellMar>
        </w:tblPrEx>
        <w:trPr>
          <w:trHeight w:val="1400" w:hRule="atLeast"/>
          <w:jc w:val="center"/>
        </w:trPr>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效益</w:t>
            </w:r>
          </w:p>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（30分）</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项目效益</w:t>
            </w:r>
          </w:p>
        </w:tc>
        <w:tc>
          <w:tcPr>
            <w:tcW w:w="2259" w:type="dxa"/>
            <w:tcBorders>
              <w:top w:val="single" w:color="000000" w:sz="4" w:space="0"/>
              <w:left w:val="single" w:color="000000" w:sz="4" w:space="0"/>
              <w:bottom w:val="single" w:color="000000" w:sz="4" w:space="0"/>
              <w:right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效益达成度</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13.40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缺乏量化和证明材料</w:t>
            </w:r>
          </w:p>
        </w:tc>
      </w:tr>
      <w:tr>
        <w:tblPrEx>
          <w:tblCellMar>
            <w:top w:w="0" w:type="dxa"/>
            <w:left w:w="108" w:type="dxa"/>
            <w:bottom w:w="0" w:type="dxa"/>
            <w:right w:w="108" w:type="dxa"/>
          </w:tblCellMar>
        </w:tblPrEx>
        <w:trPr>
          <w:trHeight w:val="1400" w:hRule="atLeast"/>
          <w:jc w:val="center"/>
        </w:trPr>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rPr>
                <w:rFonts w:ascii="仿宋_GB2312" w:hAnsi="仿宋_GB2312" w:eastAsia="仿宋_GB2312" w:cs="仿宋_GB2312"/>
                <w:color w:val="000000"/>
                <w:sz w:val="28"/>
                <w:szCs w:val="28"/>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满意度</w:t>
            </w:r>
          </w:p>
        </w:tc>
        <w:tc>
          <w:tcPr>
            <w:tcW w:w="2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服务对象满意度</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10.40</w:t>
            </w:r>
          </w:p>
        </w:tc>
        <w:tc>
          <w:tcPr>
            <w:tcW w:w="35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用户满意度调查</w:t>
            </w:r>
            <w:r>
              <w:rPr>
                <w:rFonts w:hint="eastAsia" w:ascii="仿宋_GB2312" w:hAnsi="仿宋_GB2312" w:eastAsia="仿宋_GB2312" w:cs="仿宋_GB2312"/>
                <w:color w:val="000000"/>
                <w:kern w:val="0"/>
                <w:sz w:val="28"/>
                <w:szCs w:val="28"/>
                <w:lang w:val="en-US" w:eastAsia="zh-CN" w:bidi="ar"/>
              </w:rPr>
              <w:t>不完善</w:t>
            </w:r>
            <w:r>
              <w:rPr>
                <w:rFonts w:hint="eastAsia" w:ascii="仿宋_GB2312" w:hAnsi="仿宋_GB2312" w:eastAsia="仿宋_GB2312" w:cs="仿宋_GB2312"/>
                <w:color w:val="000000"/>
                <w:kern w:val="0"/>
                <w:sz w:val="28"/>
                <w:szCs w:val="28"/>
                <w:lang w:bidi="ar"/>
              </w:rPr>
              <w:t>，满意度调查用户与服务对象不匹配</w:t>
            </w:r>
          </w:p>
        </w:tc>
      </w:tr>
      <w:tr>
        <w:tblPrEx>
          <w:tblCellMar>
            <w:top w:w="0" w:type="dxa"/>
            <w:left w:w="108" w:type="dxa"/>
            <w:bottom w:w="0" w:type="dxa"/>
            <w:right w:w="108" w:type="dxa"/>
          </w:tblCellMar>
        </w:tblPrEx>
        <w:trPr>
          <w:trHeight w:val="1220" w:hRule="atLeast"/>
          <w:jc w:val="center"/>
        </w:trPr>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合计</w:t>
            </w:r>
          </w:p>
        </w:tc>
        <w:tc>
          <w:tcPr>
            <w:tcW w:w="2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560" w:lineRule="exact"/>
              <w:jc w:val="center"/>
              <w:rPr>
                <w:rFonts w:ascii="仿宋_GB2312" w:hAnsi="仿宋_GB2312" w:eastAsia="仿宋_GB2312" w:cs="仿宋_GB2312"/>
                <w:b/>
                <w:bCs/>
                <w:color w:val="000000"/>
                <w:sz w:val="28"/>
                <w:szCs w:val="28"/>
              </w:rPr>
            </w:pP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560" w:lineRule="exact"/>
              <w:jc w:val="center"/>
              <w:textAlignment w:val="center"/>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86.90</w:t>
            </w:r>
          </w:p>
        </w:tc>
        <w:tc>
          <w:tcPr>
            <w:tcW w:w="3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560" w:lineRule="exact"/>
              <w:jc w:val="center"/>
              <w:rPr>
                <w:rFonts w:ascii="仿宋_GB2312" w:hAnsi="仿宋_GB2312" w:eastAsia="仿宋_GB2312" w:cs="仿宋_GB2312"/>
                <w:b/>
                <w:bCs/>
                <w:color w:val="000000"/>
                <w:sz w:val="28"/>
                <w:szCs w:val="28"/>
              </w:rPr>
            </w:pPr>
          </w:p>
        </w:tc>
      </w:tr>
    </w:tbl>
    <w:p>
      <w:pPr>
        <w:pStyle w:val="18"/>
        <w:ind w:firstLine="320"/>
        <w:sectPr>
          <w:pgSz w:w="11906" w:h="16838"/>
          <w:pgMar w:top="1440" w:right="1800" w:bottom="1440" w:left="1800" w:header="851" w:footer="992" w:gutter="0"/>
          <w:cols w:space="425" w:num="1"/>
          <w:docGrid w:type="lines" w:linePitch="312" w:charSpace="0"/>
        </w:sectPr>
      </w:pPr>
    </w:p>
    <w:p>
      <w:pPr>
        <w:pStyle w:val="6"/>
        <w:spacing w:line="560" w:lineRule="exact"/>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附件</w:t>
      </w:r>
      <w:r>
        <w:rPr>
          <w:rFonts w:hint="eastAsia" w:ascii="黑体" w:hAnsi="黑体" w:eastAsia="黑体" w:cs="黑体"/>
          <w:b w:val="0"/>
          <w:bCs w:val="0"/>
          <w:sz w:val="32"/>
          <w:szCs w:val="32"/>
          <w:lang w:val="en-US" w:eastAsia="zh-CN"/>
        </w:rPr>
        <w:t>5</w:t>
      </w:r>
    </w:p>
    <w:p>
      <w:pPr>
        <w:pStyle w:val="18"/>
        <w:ind w:firstLine="320"/>
        <w:rPr>
          <w:rFonts w:hint="eastAsia" w:eastAsia="仿宋"/>
          <w:lang w:eastAsia="zh-CN"/>
        </w:rPr>
      </w:pPr>
      <w:r>
        <w:rPr>
          <w:rFonts w:hint="eastAsia" w:eastAsia="仿宋"/>
          <w:lang w:eastAsia="zh-CN"/>
        </w:rPr>
        <w:drawing>
          <wp:inline distT="0" distB="0" distL="114300" distR="114300">
            <wp:extent cx="5269865" cy="6819900"/>
            <wp:effectExtent l="0" t="0" r="6985" b="0"/>
            <wp:docPr id="8" name="图片 8" descr="北京市总工会绩效评价报告意见反馈表-2023年政务云服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北京市总工会绩效评价报告意见反馈表-2023年政务云服务"/>
                    <pic:cNvPicPr>
                      <a:picLocks noChangeAspect="1"/>
                    </pic:cNvPicPr>
                  </pic:nvPicPr>
                  <pic:blipFill>
                    <a:blip r:embed="rId13"/>
                    <a:stretch>
                      <a:fillRect/>
                    </a:stretch>
                  </pic:blipFill>
                  <pic:spPr>
                    <a:xfrm>
                      <a:off x="0" y="0"/>
                      <a:ext cx="5269865" cy="681990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楷体">
    <w:panose1 w:val="02010609060101010101"/>
    <w:charset w:val="86"/>
    <w:family w:val="modern"/>
    <w:pitch w:val="default"/>
    <w:sig w:usb0="800002BF" w:usb1="38CF7CFA" w:usb2="00000016" w:usb3="00000000" w:csb0="00040001" w:csb1="00000000"/>
  </w:font>
  <w:font w:name="DejaVu Sans">
    <w:altName w:val="Segoe Print"/>
    <w:panose1 w:val="00000000000000000000"/>
    <w:charset w:val="00"/>
    <w:family w:val="roman"/>
    <w:pitch w:val="default"/>
    <w:sig w:usb0="00000000" w:usb1="00000000" w:usb2="0A246029" w:usb3="0400200C" w:csb0="600001FF" w:csb1="DFFF0000"/>
  </w:font>
  <w:font w:name="Times New Roman Regular">
    <w:altName w:val="Times New Roman"/>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宋体" w:hAnsi="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140"/>
        <w:tab w:val="right" w:pos="8300"/>
        <w:tab w:val="clear" w:pos="4153"/>
        <w:tab w:val="clear" w:pos="8306"/>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tabs>
                              <w:tab w:val="center" w:pos="4140"/>
                              <w:tab w:val="right" w:pos="8300"/>
                              <w:tab w:val="clear" w:pos="4153"/>
                              <w:tab w:val="clear" w:pos="8306"/>
                            </w:tabs>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1"/>
                      <w:tabs>
                        <w:tab w:val="center" w:pos="4140"/>
                        <w:tab w:val="right" w:pos="8300"/>
                        <w:tab w:val="clear" w:pos="4153"/>
                        <w:tab w:val="clear" w:pos="8306"/>
                      </w:tabs>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0MzQwNDM3NzMyOTAwZGViMTFjZmY0M2U4NTllMzgifQ=="/>
    <w:docVar w:name="KSO_WPS_MARK_KEY" w:val="2dcea8c3-9e6f-4ffc-9101-af9387267dd0"/>
  </w:docVars>
  <w:rsids>
    <w:rsidRoot w:val="04C45CA9"/>
    <w:rsid w:val="00025933"/>
    <w:rsid w:val="00041843"/>
    <w:rsid w:val="000C1BB0"/>
    <w:rsid w:val="004B1705"/>
    <w:rsid w:val="004C15E4"/>
    <w:rsid w:val="005D51F1"/>
    <w:rsid w:val="00782753"/>
    <w:rsid w:val="0079540F"/>
    <w:rsid w:val="0091743C"/>
    <w:rsid w:val="00B67FF1"/>
    <w:rsid w:val="00EB3B38"/>
    <w:rsid w:val="017B5688"/>
    <w:rsid w:val="02C458C8"/>
    <w:rsid w:val="030256B0"/>
    <w:rsid w:val="033200FC"/>
    <w:rsid w:val="03817477"/>
    <w:rsid w:val="040B1C26"/>
    <w:rsid w:val="043F7D7A"/>
    <w:rsid w:val="04C45CA9"/>
    <w:rsid w:val="05357A46"/>
    <w:rsid w:val="05A14EC2"/>
    <w:rsid w:val="05B94FC1"/>
    <w:rsid w:val="060B6678"/>
    <w:rsid w:val="07602AAD"/>
    <w:rsid w:val="0804356E"/>
    <w:rsid w:val="08CF13F2"/>
    <w:rsid w:val="091A19D8"/>
    <w:rsid w:val="09BC683E"/>
    <w:rsid w:val="09E13254"/>
    <w:rsid w:val="0A54652A"/>
    <w:rsid w:val="0C9531F3"/>
    <w:rsid w:val="0CCD48BE"/>
    <w:rsid w:val="0E6354DA"/>
    <w:rsid w:val="10734936"/>
    <w:rsid w:val="10C74160"/>
    <w:rsid w:val="125E4936"/>
    <w:rsid w:val="12A10762"/>
    <w:rsid w:val="13E50F0A"/>
    <w:rsid w:val="14F01C6C"/>
    <w:rsid w:val="15A515AF"/>
    <w:rsid w:val="15C3375B"/>
    <w:rsid w:val="15EA50C6"/>
    <w:rsid w:val="15F66C34"/>
    <w:rsid w:val="17017301"/>
    <w:rsid w:val="17D75109"/>
    <w:rsid w:val="1912494D"/>
    <w:rsid w:val="1A4A5C27"/>
    <w:rsid w:val="1A622AE9"/>
    <w:rsid w:val="1B1B4B10"/>
    <w:rsid w:val="1BBC447B"/>
    <w:rsid w:val="1C2269D4"/>
    <w:rsid w:val="1C553BB5"/>
    <w:rsid w:val="1C5E06CD"/>
    <w:rsid w:val="1CEF77DE"/>
    <w:rsid w:val="1D0B2C34"/>
    <w:rsid w:val="1D994A74"/>
    <w:rsid w:val="1E592455"/>
    <w:rsid w:val="1EBD5FCB"/>
    <w:rsid w:val="2127683B"/>
    <w:rsid w:val="2137369F"/>
    <w:rsid w:val="21B90EF9"/>
    <w:rsid w:val="21F16B28"/>
    <w:rsid w:val="22D61E2F"/>
    <w:rsid w:val="23757D31"/>
    <w:rsid w:val="237F40C6"/>
    <w:rsid w:val="242638E7"/>
    <w:rsid w:val="243674C1"/>
    <w:rsid w:val="25445C0D"/>
    <w:rsid w:val="25C26B32"/>
    <w:rsid w:val="27E35D14"/>
    <w:rsid w:val="280E1978"/>
    <w:rsid w:val="29A749BD"/>
    <w:rsid w:val="2BAE2E9B"/>
    <w:rsid w:val="2C8949F4"/>
    <w:rsid w:val="2EFD4110"/>
    <w:rsid w:val="2F030FE9"/>
    <w:rsid w:val="2F0C41F6"/>
    <w:rsid w:val="2F745A6C"/>
    <w:rsid w:val="2FFB1300"/>
    <w:rsid w:val="30490655"/>
    <w:rsid w:val="30A612CD"/>
    <w:rsid w:val="30B637BB"/>
    <w:rsid w:val="30DD2A72"/>
    <w:rsid w:val="3135650A"/>
    <w:rsid w:val="313A7509"/>
    <w:rsid w:val="31D45F87"/>
    <w:rsid w:val="32255A97"/>
    <w:rsid w:val="32574C41"/>
    <w:rsid w:val="33D413A1"/>
    <w:rsid w:val="34403A44"/>
    <w:rsid w:val="34E84A10"/>
    <w:rsid w:val="353C28D0"/>
    <w:rsid w:val="36735C80"/>
    <w:rsid w:val="36E8246A"/>
    <w:rsid w:val="371A08E5"/>
    <w:rsid w:val="372356AA"/>
    <w:rsid w:val="377D1196"/>
    <w:rsid w:val="37CB522E"/>
    <w:rsid w:val="3801798E"/>
    <w:rsid w:val="3B013F51"/>
    <w:rsid w:val="3B6E70E8"/>
    <w:rsid w:val="3B7B317A"/>
    <w:rsid w:val="3BA4304D"/>
    <w:rsid w:val="3BF515B8"/>
    <w:rsid w:val="3C4A1FEF"/>
    <w:rsid w:val="3D000214"/>
    <w:rsid w:val="3D4E724C"/>
    <w:rsid w:val="3DA51394"/>
    <w:rsid w:val="3DF81405"/>
    <w:rsid w:val="3E014C18"/>
    <w:rsid w:val="3EA177D5"/>
    <w:rsid w:val="3F1158D1"/>
    <w:rsid w:val="403850E9"/>
    <w:rsid w:val="40BF72D0"/>
    <w:rsid w:val="40EA3674"/>
    <w:rsid w:val="41774AD7"/>
    <w:rsid w:val="41970A1B"/>
    <w:rsid w:val="428D254A"/>
    <w:rsid w:val="42C442A5"/>
    <w:rsid w:val="42CD1DE4"/>
    <w:rsid w:val="44082603"/>
    <w:rsid w:val="450D7972"/>
    <w:rsid w:val="45603F46"/>
    <w:rsid w:val="459B3314"/>
    <w:rsid w:val="46D8772A"/>
    <w:rsid w:val="46F36F12"/>
    <w:rsid w:val="484C7C24"/>
    <w:rsid w:val="488D175B"/>
    <w:rsid w:val="493062DE"/>
    <w:rsid w:val="49F4568B"/>
    <w:rsid w:val="4BBD7CB7"/>
    <w:rsid w:val="4C177328"/>
    <w:rsid w:val="4C59524B"/>
    <w:rsid w:val="4CA010CC"/>
    <w:rsid w:val="4EBD3C00"/>
    <w:rsid w:val="4EC86EF6"/>
    <w:rsid w:val="4F4026F2"/>
    <w:rsid w:val="501613F3"/>
    <w:rsid w:val="54B1054E"/>
    <w:rsid w:val="565F3DA6"/>
    <w:rsid w:val="575E405D"/>
    <w:rsid w:val="5780157F"/>
    <w:rsid w:val="5798298C"/>
    <w:rsid w:val="579E7811"/>
    <w:rsid w:val="581D4EC0"/>
    <w:rsid w:val="58844C3D"/>
    <w:rsid w:val="589E0A9A"/>
    <w:rsid w:val="593A5116"/>
    <w:rsid w:val="59A94009"/>
    <w:rsid w:val="5A2F1CE1"/>
    <w:rsid w:val="5A7E1EC8"/>
    <w:rsid w:val="5A830D6D"/>
    <w:rsid w:val="5B650361"/>
    <w:rsid w:val="5BAE6915"/>
    <w:rsid w:val="5BC7689F"/>
    <w:rsid w:val="5C934792"/>
    <w:rsid w:val="5CB7159A"/>
    <w:rsid w:val="5D840F95"/>
    <w:rsid w:val="5DFA17F2"/>
    <w:rsid w:val="5DFE30B4"/>
    <w:rsid w:val="5E3848B7"/>
    <w:rsid w:val="5F930AF8"/>
    <w:rsid w:val="601722D8"/>
    <w:rsid w:val="607F3645"/>
    <w:rsid w:val="61F65685"/>
    <w:rsid w:val="6213006F"/>
    <w:rsid w:val="62215569"/>
    <w:rsid w:val="62C92CD3"/>
    <w:rsid w:val="64765296"/>
    <w:rsid w:val="64AC6408"/>
    <w:rsid w:val="650559CA"/>
    <w:rsid w:val="65670581"/>
    <w:rsid w:val="65734756"/>
    <w:rsid w:val="65AC068A"/>
    <w:rsid w:val="660A560B"/>
    <w:rsid w:val="671E7442"/>
    <w:rsid w:val="678B4940"/>
    <w:rsid w:val="67C93707"/>
    <w:rsid w:val="68FE74B6"/>
    <w:rsid w:val="6ACF6B9E"/>
    <w:rsid w:val="6B425EBD"/>
    <w:rsid w:val="6BD73C5C"/>
    <w:rsid w:val="6C007039"/>
    <w:rsid w:val="6C016886"/>
    <w:rsid w:val="6C21592D"/>
    <w:rsid w:val="6DB33828"/>
    <w:rsid w:val="6DFD7CD4"/>
    <w:rsid w:val="6E567D0D"/>
    <w:rsid w:val="6F181ACD"/>
    <w:rsid w:val="6FBB1BF5"/>
    <w:rsid w:val="71047B41"/>
    <w:rsid w:val="71665B90"/>
    <w:rsid w:val="726F4F19"/>
    <w:rsid w:val="72B80793"/>
    <w:rsid w:val="752124FA"/>
    <w:rsid w:val="75311864"/>
    <w:rsid w:val="75355FA6"/>
    <w:rsid w:val="76C70F9C"/>
    <w:rsid w:val="76E61F75"/>
    <w:rsid w:val="76F035F0"/>
    <w:rsid w:val="781F6205"/>
    <w:rsid w:val="78596012"/>
    <w:rsid w:val="78F543CA"/>
    <w:rsid w:val="796B43A8"/>
    <w:rsid w:val="79DB7856"/>
    <w:rsid w:val="7A236D15"/>
    <w:rsid w:val="7AA17C39"/>
    <w:rsid w:val="7ABD7E74"/>
    <w:rsid w:val="7AE86792"/>
    <w:rsid w:val="7BE91898"/>
    <w:rsid w:val="7C273F75"/>
    <w:rsid w:val="7C55517F"/>
    <w:rsid w:val="7C9B68F5"/>
    <w:rsid w:val="7CA4190A"/>
    <w:rsid w:val="7D415D61"/>
    <w:rsid w:val="7DC52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4"/>
    <w:basedOn w:val="1"/>
    <w:next w:val="1"/>
    <w:qFormat/>
    <w:uiPriority w:val="0"/>
    <w:pPr>
      <w:keepNext/>
      <w:keepLines/>
      <w:spacing w:before="280" w:after="290" w:line="372" w:lineRule="auto"/>
      <w:outlineLvl w:val="3"/>
    </w:pPr>
    <w:rPr>
      <w:rFonts w:ascii="Cambria" w:hAnsi="Cambria" w:cs="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mbria" w:hAnsi="Cambria"/>
      <w:b/>
      <w:bCs/>
      <w:sz w:val="32"/>
      <w:szCs w:val="32"/>
    </w:rPr>
  </w:style>
  <w:style w:type="paragraph" w:styleId="3">
    <w:name w:val="Body Text Indent"/>
    <w:basedOn w:val="1"/>
    <w:next w:val="1"/>
    <w:qFormat/>
    <w:uiPriority w:val="0"/>
    <w:pPr>
      <w:tabs>
        <w:tab w:val="left" w:pos="2880"/>
      </w:tabs>
      <w:spacing w:line="360" w:lineRule="auto"/>
      <w:ind w:firstLine="480" w:firstLineChars="200"/>
    </w:pPr>
    <w:rPr>
      <w:bCs/>
      <w:kern w:val="0"/>
      <w:sz w:val="24"/>
      <w:szCs w:val="20"/>
    </w:rPr>
  </w:style>
  <w:style w:type="paragraph" w:styleId="7">
    <w:name w:val="Normal Indent"/>
    <w:basedOn w:val="1"/>
    <w:qFormat/>
    <w:uiPriority w:val="0"/>
    <w:pPr>
      <w:ind w:firstLine="420"/>
    </w:pPr>
    <w:rPr>
      <w:szCs w:val="21"/>
    </w:rPr>
  </w:style>
  <w:style w:type="paragraph" w:styleId="8">
    <w:name w:val="annotation text"/>
    <w:basedOn w:val="1"/>
    <w:link w:val="30"/>
    <w:qFormat/>
    <w:uiPriority w:val="0"/>
    <w:pPr>
      <w:jc w:val="left"/>
    </w:pPr>
  </w:style>
  <w:style w:type="paragraph" w:styleId="9">
    <w:name w:val="Body Text"/>
    <w:basedOn w:val="1"/>
    <w:qFormat/>
    <w:uiPriority w:val="1"/>
    <w:pPr>
      <w:spacing w:before="48"/>
      <w:ind w:left="111"/>
    </w:pPr>
    <w:rPr>
      <w:rFonts w:ascii="仿宋" w:hAnsi="仿宋" w:eastAsia="仿宋"/>
      <w:sz w:val="32"/>
      <w:szCs w:val="32"/>
    </w:rPr>
  </w:style>
  <w:style w:type="paragraph" w:styleId="10">
    <w:name w:val="Body Text Indent 2"/>
    <w:basedOn w:val="1"/>
    <w:qFormat/>
    <w:uiPriority w:val="0"/>
    <w:pPr>
      <w:spacing w:after="120" w:line="480" w:lineRule="auto"/>
      <w:ind w:left="420" w:leftChars="200"/>
    </w:pPr>
    <w:rPr>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footnote text"/>
    <w:basedOn w:val="1"/>
    <w:unhideWhenUsed/>
    <w:qFormat/>
    <w:uiPriority w:val="99"/>
    <w:pPr>
      <w:snapToGrid w:val="0"/>
      <w:jc w:val="left"/>
    </w:pPr>
    <w:rPr>
      <w:sz w:val="18"/>
    </w:rPr>
  </w:style>
  <w:style w:type="paragraph" w:styleId="15">
    <w:name w:val="toc 2"/>
    <w:basedOn w:val="1"/>
    <w:next w:val="1"/>
    <w:qFormat/>
    <w:uiPriority w:val="0"/>
    <w:pPr>
      <w:ind w:left="420" w:leftChars="200"/>
    </w:pPr>
  </w:style>
  <w:style w:type="paragraph" w:styleId="16">
    <w:name w:val="Normal (Web)"/>
    <w:basedOn w:val="1"/>
    <w:qFormat/>
    <w:uiPriority w:val="0"/>
    <w:rPr>
      <w:sz w:val="24"/>
    </w:rPr>
  </w:style>
  <w:style w:type="paragraph" w:styleId="17">
    <w:name w:val="annotation subject"/>
    <w:basedOn w:val="8"/>
    <w:next w:val="8"/>
    <w:link w:val="31"/>
    <w:qFormat/>
    <w:uiPriority w:val="0"/>
    <w:rPr>
      <w:b/>
      <w:bCs/>
    </w:rPr>
  </w:style>
  <w:style w:type="paragraph" w:styleId="18">
    <w:name w:val="Body Text First Indent"/>
    <w:basedOn w:val="9"/>
    <w:qFormat/>
    <w:uiPriority w:val="0"/>
    <w:pPr>
      <w:ind w:firstLine="420" w:firstLineChars="100"/>
    </w:pPr>
  </w:style>
  <w:style w:type="paragraph" w:styleId="19">
    <w:name w:val="Body Text First Indent 2"/>
    <w:basedOn w:val="3"/>
    <w:qFormat/>
    <w:uiPriority w:val="0"/>
    <w:pPr>
      <w:ind w:firstLine="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annotation reference"/>
    <w:basedOn w:val="22"/>
    <w:qFormat/>
    <w:uiPriority w:val="0"/>
    <w:rPr>
      <w:sz w:val="21"/>
      <w:szCs w:val="21"/>
    </w:rPr>
  </w:style>
  <w:style w:type="character" w:styleId="24">
    <w:name w:val="footnote reference"/>
    <w:unhideWhenUsed/>
    <w:qFormat/>
    <w:uiPriority w:val="99"/>
    <w:rPr>
      <w:vertAlign w:val="superscript"/>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表格"/>
    <w:basedOn w:val="1"/>
    <w:qFormat/>
    <w:uiPriority w:val="0"/>
    <w:pPr>
      <w:jc w:val="center"/>
    </w:pPr>
    <w:rPr>
      <w:rFonts w:ascii="Verdana" w:hAnsi="Verdana" w:eastAsia="仿宋_GB2312"/>
      <w:sz w:val="24"/>
      <w:lang w:eastAsia="en-US"/>
    </w:rPr>
  </w:style>
  <w:style w:type="paragraph" w:customStyle="1" w:styleId="28">
    <w:name w:val="列出段落1"/>
    <w:basedOn w:val="1"/>
    <w:qFormat/>
    <w:uiPriority w:val="0"/>
    <w:pPr>
      <w:ind w:firstLine="420" w:firstLineChars="200"/>
    </w:pPr>
  </w:style>
  <w:style w:type="paragraph" w:customStyle="1" w:styleId="29">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30">
    <w:name w:val="批注文字 字符"/>
    <w:basedOn w:val="22"/>
    <w:link w:val="8"/>
    <w:qFormat/>
    <w:uiPriority w:val="0"/>
    <w:rPr>
      <w:kern w:val="2"/>
      <w:sz w:val="21"/>
      <w:szCs w:val="24"/>
    </w:rPr>
  </w:style>
  <w:style w:type="character" w:customStyle="1" w:styleId="31">
    <w:name w:val="批注主题 字符"/>
    <w:basedOn w:val="30"/>
    <w:link w:val="17"/>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4967</Words>
  <Characters>5335</Characters>
  <Lines>98</Lines>
  <Paragraphs>27</Paragraphs>
  <TotalTime>1</TotalTime>
  <ScaleCrop>false</ScaleCrop>
  <LinksUpToDate>false</LinksUpToDate>
  <CharactersWithSpaces>5479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2024-05-16T05:18:00Z</dcterms:created>
  <dc:creator>肆月</dc:creator>
  <cp:lastModifiedBy>肆月</cp:lastModifiedBy>
  <dcterms:modified xsi:type="dcterms:W3CDTF">2024-06-03T08:57:59Z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D2C5939943BD4438A3B9217424F26FCB_13</vt:lpwstr>
  </property>
</Properties>
</file>