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0"/>
        <w:jc w:val="left"/>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w:t>
      </w:r>
      <w:r>
        <w:rPr>
          <w:rFonts w:hint="eastAsia" w:ascii="方正小标宋简体" w:hAnsi="方正小标宋简体" w:eastAsia="方正小标宋简体" w:cs="方正小标宋简体"/>
          <w:sz w:val="44"/>
          <w:szCs w:val="44"/>
          <w:lang w:eastAsia="zh-CN"/>
        </w:rPr>
        <w:t>总工会</w:t>
      </w: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2</w:t>
      </w:r>
      <w:r>
        <w:rPr>
          <w:rFonts w:hint="eastAsia" w:ascii="方正小标宋简体" w:hAnsi="方正小标宋简体" w:eastAsia="方正小标宋简体" w:cs="方正小标宋简体"/>
          <w:sz w:val="44"/>
          <w:szCs w:val="44"/>
        </w:rPr>
        <w:t>年度</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部门整体绩效评价报告</w:t>
      </w:r>
    </w:p>
    <w:p>
      <w:pPr>
        <w:rPr>
          <w:rFonts w:ascii="仿宋" w:hAnsi="仿宋" w:eastAsia="仿宋" w:cs="仿宋"/>
          <w:sz w:val="32"/>
          <w:szCs w:val="32"/>
        </w:rPr>
      </w:pPr>
    </w:p>
    <w:p>
      <w:pPr>
        <w:rPr>
          <w:rFonts w:ascii="仿宋" w:hAnsi="仿宋" w:eastAsia="仿宋" w:cs="仿宋"/>
          <w:sz w:val="32"/>
          <w:szCs w:val="32"/>
        </w:rPr>
      </w:pPr>
    </w:p>
    <w:p>
      <w:pPr>
        <w:pStyle w:val="4"/>
        <w:spacing w:after="0" w:line="240" w:lineRule="auto"/>
        <w:ind w:left="0" w:leftChars="0" w:firstLine="560"/>
      </w:pPr>
    </w:p>
    <w:p>
      <w:pPr>
        <w:pStyle w:val="4"/>
        <w:spacing w:after="0" w:line="240" w:lineRule="auto"/>
        <w:ind w:left="0" w:leftChars="0" w:firstLine="560"/>
      </w:pPr>
    </w:p>
    <w:p>
      <w:pPr>
        <w:spacing w:line="580" w:lineRule="exact"/>
        <w:rPr>
          <w:rFonts w:ascii="仿宋" w:hAnsi="仿宋" w:eastAsia="仿宋" w:cs="仿宋"/>
          <w:sz w:val="32"/>
          <w:szCs w:val="32"/>
        </w:rPr>
      </w:pPr>
    </w:p>
    <w:p>
      <w:pPr>
        <w:rPr>
          <w:rFonts w:ascii="仿宋" w:hAnsi="仿宋" w:eastAsia="仿宋" w:cs="仿宋"/>
          <w:sz w:val="32"/>
          <w:szCs w:val="32"/>
        </w:rPr>
      </w:pPr>
    </w:p>
    <w:p>
      <w:pPr>
        <w:rPr>
          <w:rFonts w:ascii="仿宋_GB2312" w:hAnsi="仿宋_GB2312" w:cs="仿宋_GB2312"/>
          <w:sz w:val="32"/>
          <w:szCs w:val="32"/>
        </w:rPr>
      </w:pPr>
    </w:p>
    <w:p>
      <w:pPr>
        <w:pStyle w:val="4"/>
        <w:spacing w:after="0" w:line="240" w:lineRule="auto"/>
        <w:ind w:left="0" w:leftChars="0"/>
        <w:rPr>
          <w:rFonts w:ascii="仿宋_GB2312" w:hAnsi="仿宋_GB2312" w:cs="仿宋_GB2312"/>
          <w:sz w:val="32"/>
          <w:szCs w:val="32"/>
        </w:rPr>
      </w:pPr>
    </w:p>
    <w:p>
      <w:pPr>
        <w:spacing w:line="580" w:lineRule="exact"/>
        <w:jc w:val="center"/>
        <w:rPr>
          <w:rFonts w:ascii="黑体" w:hAnsi="黑体" w:eastAsia="黑体" w:cs="仿宋_GB2312"/>
          <w:sz w:val="32"/>
          <w:szCs w:val="32"/>
        </w:rPr>
        <w:sectPr>
          <w:footerReference r:id="rId3" w:type="default"/>
          <w:pgSz w:w="16838" w:h="11906" w:orient="landscape"/>
          <w:pgMar w:top="1531" w:right="2098" w:bottom="1531" w:left="1984" w:header="851" w:footer="992" w:gutter="0"/>
          <w:cols w:space="720" w:num="1"/>
          <w:docGrid w:type="lines" w:linePitch="312" w:charSpace="0"/>
        </w:sectPr>
      </w:pPr>
      <w:r>
        <w:rPr>
          <w:rFonts w:hint="eastAsia" w:ascii="黑体" w:hAnsi="黑体" w:eastAsia="黑体" w:cs="仿宋_GB2312"/>
          <w:sz w:val="32"/>
          <w:szCs w:val="32"/>
        </w:rPr>
        <w:t>二〇二</w:t>
      </w:r>
      <w:r>
        <w:rPr>
          <w:rFonts w:hint="eastAsia" w:ascii="黑体" w:hAnsi="黑体" w:eastAsia="黑体" w:cs="仿宋_GB2312"/>
          <w:sz w:val="32"/>
          <w:szCs w:val="32"/>
          <w:lang w:eastAsia="zh-CN"/>
        </w:rPr>
        <w:t>三</w:t>
      </w:r>
      <w:r>
        <w:rPr>
          <w:rFonts w:hint="eastAsia" w:ascii="黑体" w:hAnsi="黑体" w:eastAsia="黑体" w:cs="仿宋_GB2312"/>
          <w:sz w:val="32"/>
          <w:szCs w:val="32"/>
        </w:rPr>
        <w:t>年五月</w:t>
      </w:r>
    </w:p>
    <w:p>
      <w:pPr>
        <w:numPr>
          <w:ilvl w:val="0"/>
          <w:numId w:val="1"/>
        </w:numPr>
        <w:spacing w:line="580" w:lineRule="exact"/>
        <w:ind w:firstLine="560" w:firstLineChars="200"/>
        <w:rPr>
          <w:rFonts w:hint="eastAsia" w:ascii="黑体" w:eastAsia="黑体"/>
          <w:sz w:val="28"/>
          <w:szCs w:val="28"/>
        </w:rPr>
      </w:pPr>
      <w:r>
        <w:rPr>
          <w:rFonts w:hint="eastAsia" w:ascii="黑体" w:eastAsia="黑体"/>
          <w:sz w:val="28"/>
          <w:szCs w:val="28"/>
        </w:rPr>
        <w:t>部门概况</w:t>
      </w:r>
    </w:p>
    <w:p>
      <w:pPr>
        <w:spacing w:line="600" w:lineRule="exact"/>
        <w:ind w:firstLine="640" w:firstLineChars="200"/>
        <w:rPr>
          <w:rFonts w:hint="eastAsia" w:ascii="楷体_GB2312" w:hAnsi="Times New Roman" w:eastAsia="楷体_GB2312" w:cs="Times New Roman"/>
          <w:sz w:val="32"/>
          <w:szCs w:val="32"/>
        </w:rPr>
      </w:pPr>
      <w:r>
        <w:rPr>
          <w:rFonts w:hint="eastAsia" w:ascii="楷体_GB2312" w:hAnsi="Times New Roman" w:eastAsia="楷体_GB2312" w:cs="Times New Roman"/>
          <w:sz w:val="32"/>
          <w:szCs w:val="32"/>
        </w:rPr>
        <w:t>（一）机构设置及职责工作任务情况</w:t>
      </w:r>
    </w:p>
    <w:p>
      <w:pPr>
        <w:ind w:firstLine="555"/>
        <w:rPr>
          <w:rFonts w:ascii="仿宋_GB2312" w:hAnsi="仿宋" w:eastAsia="仿宋_GB2312" w:cs="仿宋"/>
          <w:bCs/>
          <w:sz w:val="32"/>
          <w:szCs w:val="32"/>
        </w:rPr>
      </w:pPr>
      <w:r>
        <w:rPr>
          <w:rFonts w:hint="eastAsia" w:ascii="仿宋_GB2312" w:hAnsi="仿宋" w:eastAsia="仿宋_GB2312" w:cs="仿宋"/>
          <w:bCs/>
          <w:sz w:val="32"/>
          <w:szCs w:val="32"/>
        </w:rPr>
        <w:t>北京市总工会是北京市工会组织的领导机关，1950年2月正式成立。2017年依据北京市编办的《北京市机构编制委员会办公室关于同意调整市总工会机关内设机构和人员编制的函》（京编办行〔2017〕177号），内设16个部门。</w:t>
      </w:r>
      <w:r>
        <w:rPr>
          <w:rFonts w:hint="eastAsia" w:ascii="仿宋_GB2312" w:hAnsi="仿宋" w:eastAsia="仿宋_GB2312" w:cs="仿宋"/>
          <w:bCs/>
          <w:sz w:val="32"/>
          <w:szCs w:val="32"/>
          <w:lang w:eastAsia="zh-CN"/>
        </w:rPr>
        <w:t>包含本级及</w:t>
      </w:r>
      <w:r>
        <w:rPr>
          <w:rFonts w:hint="eastAsia" w:ascii="仿宋_GB2312" w:hAnsi="仿宋" w:eastAsia="仿宋_GB2312" w:cs="仿宋"/>
          <w:bCs/>
          <w:sz w:val="32"/>
          <w:szCs w:val="32"/>
        </w:rPr>
        <w:t>下属10家预算单位。</w:t>
      </w:r>
    </w:p>
    <w:p>
      <w:pPr>
        <w:ind w:firstLine="555"/>
        <w:rPr>
          <w:rFonts w:ascii="仿宋_GB2312" w:hAnsi="仿宋" w:eastAsia="仿宋_GB2312" w:cs="仿宋"/>
          <w:bCs/>
          <w:sz w:val="32"/>
          <w:szCs w:val="32"/>
        </w:rPr>
      </w:pPr>
      <w:r>
        <w:rPr>
          <w:rFonts w:hint="eastAsia" w:ascii="仿宋_GB2312" w:hAnsi="仿宋" w:eastAsia="仿宋_GB2312" w:cs="仿宋"/>
          <w:bCs/>
          <w:sz w:val="32"/>
          <w:szCs w:val="32"/>
        </w:rPr>
        <w:t>北京市总工会主要职责是组织和教育职工贯彻执行党的路线、方针和政策，根据市委、市政府、中华全国总工会的中心工作和党的工运方针，依照法律和工会章程，开展工会组织建设、职工权益维护、职工服务、职工发展等方面工作。教育职工不断提高思想道德、技术业务和科学文化素质，建设有理想、有道德、有文化、有纪律的职工队伍。</w:t>
      </w:r>
    </w:p>
    <w:p>
      <w:pPr>
        <w:spacing w:line="600" w:lineRule="exact"/>
        <w:ind w:firstLine="640" w:firstLineChars="200"/>
        <w:rPr>
          <w:rFonts w:hint="eastAsia"/>
          <w:sz w:val="32"/>
          <w:szCs w:val="32"/>
        </w:rPr>
      </w:pPr>
      <w:r>
        <w:rPr>
          <w:rFonts w:hint="eastAsia" w:ascii="仿宋_GB2312" w:hAnsi="仿宋" w:eastAsia="仿宋_GB2312" w:cs="仿宋"/>
          <w:bCs/>
          <w:sz w:val="32"/>
          <w:szCs w:val="32"/>
        </w:rPr>
        <w:t>202</w:t>
      </w:r>
      <w:r>
        <w:rPr>
          <w:rFonts w:hint="eastAsia" w:ascii="仿宋_GB2312" w:hAnsi="仿宋" w:eastAsia="仿宋_GB2312" w:cs="仿宋"/>
          <w:bCs/>
          <w:sz w:val="32"/>
          <w:szCs w:val="32"/>
          <w:lang w:val="en-US" w:eastAsia="zh-CN"/>
        </w:rPr>
        <w:t>2</w:t>
      </w:r>
      <w:r>
        <w:rPr>
          <w:rFonts w:hint="eastAsia" w:ascii="仿宋_GB2312" w:hAnsi="仿宋" w:eastAsia="仿宋_GB2312" w:cs="仿宋"/>
          <w:bCs/>
          <w:sz w:val="32"/>
          <w:szCs w:val="32"/>
        </w:rPr>
        <w:t>年主要工作任务包括：广泛开展劳动和技能竞赛，组织“职工技协杯”职业技能竞赛，通过广泛开展劳动和技能竞赛，推动首都职工兴起学技术、练本领、比技能、创一流的热潮；健全劳动关系协调机制，组织召开全市厂务公开民主管理工作会议，推动集团型企业建立集团级职代会制度；积极助力职工成长成才，扎实开展“创新助推计划”，激励职工立足岗位创新发展，带动各级工会建立数千家职工创新工作室；通过组织安康杯知识竞赛，提高安全生产意识，为全市各行各业安全生产保驾护航；精准化帮扶救助体系不断完善，加大职工解困脱困力度，为困难职工提供就业、医疗、助学和应急救助；继续对劳模进行专项服务，涵盖劳模生活困难补贴、特殊困难帮扶、意外困难帮扶、健康体检、劳模疗休养、春节慰问等方面；发挥好文化宫职工文化服务阵地作用，聚焦职工需求，开展各具特色的职工文化服务，围绕劳模精神、劳动精神和工匠精神的主题，举办各种形式的文化服务；组织实施绿化景观提升工程，完善园林和基础设备设施，做好节庆景观美化；在全力做好天安门地区活动保障和发挥首都市民公园公益职能的基础上，落实市委市政府关于中轴线申遗的要求，按照《北京城市总体规划（2016年-2035年）》提出“应积极推进中轴线等项目的申遗工作，保护中轴线传统风貌特色”，积极推动太庙文物修缮，保证文物本体安全，恢复文物历史风貌，策划太庙历史文化专题展。</w:t>
      </w:r>
    </w:p>
    <w:p>
      <w:pPr>
        <w:spacing w:line="580" w:lineRule="exact"/>
        <w:ind w:firstLine="640" w:firstLineChars="200"/>
        <w:rPr>
          <w:rFonts w:hint="eastAsia" w:ascii="楷体_GB2312" w:hAnsi="Times New Roman" w:eastAsia="楷体_GB2312" w:cs="Times New Roman"/>
          <w:sz w:val="32"/>
          <w:szCs w:val="32"/>
        </w:rPr>
      </w:pPr>
      <w:r>
        <w:rPr>
          <w:rFonts w:hint="eastAsia" w:ascii="楷体_GB2312" w:hAnsi="Times New Roman" w:eastAsia="楷体_GB2312" w:cs="Times New Roman"/>
          <w:sz w:val="32"/>
          <w:szCs w:val="32"/>
        </w:rPr>
        <w:t>（</w:t>
      </w:r>
      <w:r>
        <w:rPr>
          <w:rFonts w:hint="eastAsia" w:ascii="楷体_GB2312" w:hAnsi="Times New Roman" w:eastAsia="楷体_GB2312" w:cs="Times New Roman"/>
          <w:sz w:val="32"/>
          <w:szCs w:val="32"/>
          <w:lang w:eastAsia="zh-CN"/>
        </w:rPr>
        <w:t>二</w:t>
      </w:r>
      <w:r>
        <w:rPr>
          <w:rFonts w:hint="eastAsia" w:ascii="楷体_GB2312" w:hAnsi="Times New Roman" w:eastAsia="楷体_GB2312" w:cs="Times New Roman"/>
          <w:sz w:val="32"/>
          <w:szCs w:val="32"/>
        </w:rPr>
        <w:t>）部门整体绩效目标设立情况</w:t>
      </w:r>
    </w:p>
    <w:p>
      <w:pPr>
        <w:spacing w:after="120"/>
        <w:ind w:firstLine="640" w:firstLineChars="200"/>
        <w:rPr>
          <w:rFonts w:hint="eastAsia" w:ascii="仿宋_GB2312" w:hAnsi="仿宋" w:eastAsia="仿宋_GB2312" w:cs="仿宋"/>
          <w:bCs/>
          <w:sz w:val="28"/>
          <w:szCs w:val="28"/>
          <w:lang w:val="en-US" w:eastAsia="zh-CN"/>
        </w:rPr>
      </w:pPr>
      <w:r>
        <w:rPr>
          <w:rFonts w:hint="eastAsia" w:ascii="仿宋_GB2312" w:hAnsi="仿宋" w:eastAsia="仿宋_GB2312" w:cs="仿宋"/>
          <w:bCs/>
          <w:sz w:val="32"/>
          <w:szCs w:val="32"/>
        </w:rPr>
        <w:t>按照北京市总工会部门职责及年初工作计划，为提高预算资金管理水平，检验经费支出预期目标实现程度，</w:t>
      </w:r>
      <w:bookmarkStart w:id="0" w:name="_Hlk53567156"/>
      <w:r>
        <w:rPr>
          <w:rFonts w:hint="eastAsia" w:ascii="仿宋_GB2312" w:hAnsi="仿宋" w:eastAsia="仿宋_GB2312" w:cs="仿宋"/>
          <w:bCs/>
          <w:sz w:val="32"/>
          <w:szCs w:val="32"/>
        </w:rPr>
        <w:t>考核经费支出效率和综合效果，</w:t>
      </w:r>
      <w:bookmarkEnd w:id="0"/>
      <w:r>
        <w:rPr>
          <w:rFonts w:hint="eastAsia" w:ascii="仿宋_GB2312" w:hAnsi="仿宋" w:eastAsia="仿宋_GB2312" w:cs="仿宋"/>
          <w:bCs/>
          <w:sz w:val="32"/>
          <w:szCs w:val="32"/>
        </w:rPr>
        <w:t>根据《北京市项目支出绩效评价管理办法》（京财绩效〔2020〕2146号）和《北京市总工会预算绩效管理办法》（京工发〔</w:t>
      </w:r>
      <w:r>
        <w:rPr>
          <w:rFonts w:hint="eastAsia" w:ascii="仿宋_GB2312" w:hAnsi="仿宋" w:eastAsia="仿宋_GB2312" w:cs="仿宋"/>
          <w:bCs/>
          <w:sz w:val="32"/>
          <w:szCs w:val="32"/>
          <w:lang w:eastAsia="zh-CN"/>
        </w:rPr>
        <w:t>2022</w:t>
      </w:r>
      <w:r>
        <w:rPr>
          <w:rFonts w:hint="eastAsia" w:ascii="仿宋_GB2312" w:hAnsi="仿宋" w:eastAsia="仿宋_GB2312" w:cs="仿宋"/>
          <w:bCs/>
          <w:sz w:val="32"/>
          <w:szCs w:val="32"/>
        </w:rPr>
        <w:t>〕7号），市总工会成立绩效评价工作组，组织相关部门有序开展绩效评价工作，在预算申报时合理确定绩效指标，涵盖各业务部门职责及工作要点，目标与职责任务匹配一致，</w:t>
      </w:r>
      <w:r>
        <w:rPr>
          <w:rFonts w:hint="eastAsia" w:ascii="仿宋_GB2312" w:hAnsi="仿宋" w:eastAsia="仿宋_GB2312" w:cs="仿宋"/>
          <w:bCs/>
          <w:sz w:val="32"/>
          <w:szCs w:val="32"/>
          <w:lang w:eastAsia="zh-CN"/>
        </w:rPr>
        <w:t>初步建立绩效评价体系，通过出台制度以及制度培训，</w:t>
      </w:r>
      <w:r>
        <w:rPr>
          <w:rFonts w:hint="eastAsia" w:ascii="仿宋_GB2312" w:hAnsi="仿宋" w:eastAsia="仿宋_GB2312" w:cs="仿宋"/>
          <w:bCs/>
          <w:sz w:val="32"/>
          <w:szCs w:val="32"/>
        </w:rPr>
        <w:t>提高</w:t>
      </w:r>
      <w:r>
        <w:rPr>
          <w:rFonts w:hint="eastAsia" w:ascii="仿宋_GB2312" w:hAnsi="仿宋" w:eastAsia="仿宋_GB2312" w:cs="仿宋"/>
          <w:bCs/>
          <w:sz w:val="32"/>
          <w:szCs w:val="32"/>
          <w:lang w:eastAsia="zh-CN"/>
        </w:rPr>
        <w:t>全员预算资金绩效管理意识，</w:t>
      </w:r>
      <w:r>
        <w:rPr>
          <w:rFonts w:hint="eastAsia" w:ascii="仿宋_GB2312" w:hAnsi="仿宋" w:eastAsia="仿宋_GB2312" w:cs="仿宋"/>
          <w:bCs/>
          <w:sz w:val="32"/>
          <w:szCs w:val="32"/>
        </w:rPr>
        <w:t>将绩效理念融入预算编制、执行、监督全过程。</w:t>
      </w:r>
      <w:r>
        <w:rPr>
          <w:rFonts w:hint="eastAsia" w:ascii="仿宋_GB2312" w:hAnsi="仿宋" w:eastAsia="仿宋_GB2312" w:cs="仿宋"/>
          <w:bCs/>
          <w:sz w:val="32"/>
          <w:szCs w:val="32"/>
          <w:lang w:eastAsia="zh-CN"/>
        </w:rPr>
        <w:t>整体绩效指标围绕</w:t>
      </w:r>
      <w:r>
        <w:rPr>
          <w:rFonts w:hint="eastAsia" w:ascii="仿宋_GB2312" w:hAnsi="仿宋" w:eastAsia="仿宋_GB2312" w:cs="仿宋"/>
          <w:bCs/>
          <w:sz w:val="32"/>
          <w:szCs w:val="32"/>
        </w:rPr>
        <w:t>工会组织建设、职工权益维护、职工服务、职工发展、劳模关爱及职工文体活动</w:t>
      </w:r>
      <w:r>
        <w:rPr>
          <w:rFonts w:hint="eastAsia" w:ascii="仿宋_GB2312" w:hAnsi="仿宋" w:eastAsia="仿宋_GB2312" w:cs="仿宋"/>
          <w:bCs/>
          <w:sz w:val="32"/>
          <w:szCs w:val="32"/>
          <w:lang w:eastAsia="zh-CN"/>
        </w:rPr>
        <w:t>形成</w:t>
      </w:r>
      <w:r>
        <w:rPr>
          <w:rFonts w:hint="eastAsia" w:ascii="仿宋_GB2312" w:hAnsi="仿宋" w:eastAsia="仿宋_GB2312" w:cs="仿宋"/>
          <w:bCs/>
          <w:sz w:val="32"/>
          <w:szCs w:val="32"/>
        </w:rPr>
        <w:t>年度指标，并</w:t>
      </w:r>
      <w:r>
        <w:rPr>
          <w:rFonts w:hint="eastAsia" w:ascii="仿宋_GB2312" w:hAnsi="仿宋" w:eastAsia="仿宋_GB2312" w:cs="仿宋"/>
          <w:bCs/>
          <w:sz w:val="32"/>
          <w:szCs w:val="32"/>
          <w:lang w:eastAsia="zh-CN"/>
        </w:rPr>
        <w:t>重点关注</w:t>
      </w:r>
      <w:r>
        <w:rPr>
          <w:rFonts w:hint="eastAsia" w:ascii="仿宋_GB2312" w:hAnsi="仿宋" w:eastAsia="仿宋_GB2312" w:cs="仿宋"/>
          <w:bCs/>
          <w:sz w:val="32"/>
          <w:szCs w:val="32"/>
        </w:rPr>
        <w:t>形成</w:t>
      </w:r>
      <w:r>
        <w:rPr>
          <w:rFonts w:hint="eastAsia" w:ascii="仿宋_GB2312" w:hAnsi="仿宋" w:eastAsia="仿宋_GB2312" w:cs="仿宋"/>
          <w:bCs/>
          <w:sz w:val="32"/>
          <w:szCs w:val="32"/>
          <w:lang w:eastAsia="zh-CN"/>
        </w:rPr>
        <w:t>的社会效益和</w:t>
      </w:r>
      <w:r>
        <w:rPr>
          <w:rFonts w:hint="eastAsia" w:ascii="仿宋_GB2312" w:hAnsi="仿宋" w:eastAsia="仿宋_GB2312" w:cs="仿宋"/>
          <w:bCs/>
          <w:sz w:val="32"/>
          <w:szCs w:val="32"/>
        </w:rPr>
        <w:t>可持续影响</w:t>
      </w:r>
      <w:r>
        <w:rPr>
          <w:rFonts w:hint="eastAsia" w:ascii="仿宋_GB2312" w:hAnsi="仿宋" w:eastAsia="仿宋_GB2312" w:cs="仿宋"/>
          <w:bCs/>
          <w:sz w:val="32"/>
          <w:szCs w:val="32"/>
          <w:lang w:eastAsia="zh-CN"/>
        </w:rPr>
        <w:t>。</w:t>
      </w:r>
    </w:p>
    <w:p>
      <w:pPr>
        <w:snapToGrid w:val="0"/>
        <w:spacing w:line="360" w:lineRule="auto"/>
        <w:ind w:firstLine="562"/>
        <w:jc w:val="center"/>
        <w:rPr>
          <w:rFonts w:ascii="仿宋" w:hAnsi="仿宋" w:eastAsia="仿宋" w:cs="仿宋"/>
          <w:b/>
          <w:bCs/>
          <w:sz w:val="28"/>
          <w:szCs w:val="28"/>
        </w:rPr>
      </w:pPr>
      <w:r>
        <w:rPr>
          <w:rFonts w:hint="eastAsia" w:ascii="仿宋" w:hAnsi="仿宋" w:eastAsia="仿宋" w:cs="仿宋"/>
          <w:b/>
          <w:bCs/>
          <w:sz w:val="28"/>
          <w:szCs w:val="28"/>
        </w:rPr>
        <w:t>表1  绩效指标设定情况</w:t>
      </w:r>
    </w:p>
    <w:tbl>
      <w:tblPr>
        <w:tblStyle w:val="7"/>
        <w:tblW w:w="0" w:type="auto"/>
        <w:jc w:val="center"/>
        <w:tblLayout w:type="fixed"/>
        <w:tblCellMar>
          <w:top w:w="0" w:type="dxa"/>
          <w:left w:w="108" w:type="dxa"/>
          <w:bottom w:w="0" w:type="dxa"/>
          <w:right w:w="108" w:type="dxa"/>
        </w:tblCellMar>
      </w:tblPr>
      <w:tblGrid>
        <w:gridCol w:w="1946"/>
        <w:gridCol w:w="6310"/>
      </w:tblGrid>
      <w:tr>
        <w:tblPrEx>
          <w:tblCellMar>
            <w:top w:w="0" w:type="dxa"/>
            <w:left w:w="108" w:type="dxa"/>
            <w:bottom w:w="0" w:type="dxa"/>
            <w:right w:w="108" w:type="dxa"/>
          </w:tblCellMar>
        </w:tblPrEx>
        <w:trPr>
          <w:trHeight w:val="534" w:hRule="exact"/>
          <w:tblHeader/>
          <w:jc w:val="center"/>
        </w:trPr>
        <w:tc>
          <w:tcPr>
            <w:tcW w:w="1946" w:type="dxa"/>
            <w:tcBorders>
              <w:top w:val="single" w:color="auto" w:sz="4" w:space="0"/>
              <w:left w:val="single" w:color="auto" w:sz="4" w:space="0"/>
              <w:bottom w:val="single" w:color="auto" w:sz="4" w:space="0"/>
              <w:right w:val="single" w:color="auto" w:sz="4" w:space="0"/>
            </w:tcBorders>
            <w:shd w:val="clear" w:color="auto" w:fill="A4A4A4"/>
            <w:noWrap w:val="0"/>
            <w:vAlign w:val="center"/>
          </w:tcPr>
          <w:p>
            <w:pPr>
              <w:autoSpaceDN w:val="0"/>
              <w:jc w:val="center"/>
              <w:rPr>
                <w:bCs/>
                <w:color w:val="000000"/>
                <w:sz w:val="24"/>
              </w:rPr>
            </w:pPr>
            <w:r>
              <w:rPr>
                <w:rFonts w:hint="eastAsia" w:ascii="仿宋_GB2312" w:hAnsi="仿宋_GB2312" w:eastAsia="仿宋_GB2312" w:cs="仿宋_GB2312"/>
                <w:b/>
                <w:bCs/>
                <w:color w:val="000000"/>
                <w:sz w:val="24"/>
              </w:rPr>
              <w:t>指标类型</w:t>
            </w:r>
          </w:p>
        </w:tc>
        <w:tc>
          <w:tcPr>
            <w:tcW w:w="6310" w:type="dxa"/>
            <w:tcBorders>
              <w:top w:val="single" w:color="auto" w:sz="4" w:space="0"/>
              <w:left w:val="single" w:color="auto" w:sz="4" w:space="0"/>
              <w:bottom w:val="single" w:color="auto" w:sz="4" w:space="0"/>
              <w:right w:val="single" w:color="auto" w:sz="4" w:space="0"/>
            </w:tcBorders>
            <w:shd w:val="clear" w:color="auto" w:fill="A4A4A4"/>
            <w:noWrap w:val="0"/>
            <w:vAlign w:val="center"/>
          </w:tcPr>
          <w:p>
            <w:pPr>
              <w:autoSpaceDN w:val="0"/>
              <w:jc w:val="center"/>
              <w:rPr>
                <w:bCs/>
                <w:kern w:val="0"/>
                <w:sz w:val="24"/>
              </w:rPr>
            </w:pPr>
            <w:r>
              <w:rPr>
                <w:rFonts w:hint="eastAsia" w:ascii="仿宋_GB2312" w:hAnsi="仿宋_GB2312" w:eastAsia="仿宋_GB2312" w:cs="仿宋_GB2312"/>
                <w:b/>
                <w:bCs/>
                <w:kern w:val="0"/>
                <w:sz w:val="24"/>
              </w:rPr>
              <w:t>内容设定</w:t>
            </w:r>
          </w:p>
        </w:tc>
      </w:tr>
      <w:tr>
        <w:tblPrEx>
          <w:tblCellMar>
            <w:top w:w="0" w:type="dxa"/>
            <w:left w:w="108" w:type="dxa"/>
            <w:bottom w:w="0" w:type="dxa"/>
            <w:right w:w="108" w:type="dxa"/>
          </w:tblCellMar>
        </w:tblPrEx>
        <w:trPr>
          <w:trHeight w:val="986"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rFonts w:ascii="仿宋_GB2312" w:hAnsi="仿宋_GB2312" w:eastAsia="仿宋_GB2312" w:cs="仿宋_GB2312"/>
                <w:bCs/>
                <w:sz w:val="24"/>
              </w:rPr>
            </w:pPr>
            <w:r>
              <w:rPr>
                <w:rFonts w:hint="eastAsia" w:ascii="仿宋_GB2312" w:hAnsi="仿宋_GB2312" w:eastAsia="仿宋_GB2312" w:cs="仿宋_GB2312"/>
                <w:bCs/>
                <w:kern w:val="0"/>
                <w:sz w:val="24"/>
              </w:rPr>
              <w:t>产出数量指标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cs="Arial"/>
                <w:color w:val="000000"/>
                <w:sz w:val="18"/>
                <w:szCs w:val="18"/>
              </w:rPr>
            </w:pPr>
            <w:r>
              <w:rPr>
                <w:rFonts w:hint="eastAsia" w:ascii="Calibri" w:hAnsi="Calibri" w:cs="Arial"/>
                <w:color w:val="000000"/>
                <w:sz w:val="18"/>
                <w:szCs w:val="18"/>
              </w:rPr>
              <w:t>围绕高质量发展组织劳动和技能竞赛。</w:t>
            </w:r>
          </w:p>
        </w:tc>
      </w:tr>
      <w:tr>
        <w:tblPrEx>
          <w:tblCellMar>
            <w:top w:w="0" w:type="dxa"/>
            <w:left w:w="108" w:type="dxa"/>
            <w:bottom w:w="0" w:type="dxa"/>
            <w:right w:w="108" w:type="dxa"/>
          </w:tblCellMar>
        </w:tblPrEx>
        <w:trPr>
          <w:trHeight w:val="655"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bCs/>
                <w:kern w:val="0"/>
                <w:sz w:val="24"/>
              </w:rPr>
            </w:pPr>
            <w:r>
              <w:rPr>
                <w:rFonts w:hint="eastAsia" w:ascii="仿宋_GB2312" w:hAnsi="仿宋_GB2312" w:eastAsia="仿宋_GB2312" w:cs="仿宋_GB2312"/>
                <w:bCs/>
                <w:sz w:val="24"/>
              </w:rPr>
              <w:t>产出质量指标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color w:val="000000"/>
                <w:sz w:val="18"/>
                <w:szCs w:val="18"/>
              </w:rPr>
            </w:pPr>
            <w:r>
              <w:rPr>
                <w:rFonts w:hint="eastAsia" w:ascii="Calibri" w:hAnsi="Calibri" w:cs="Arial"/>
                <w:color w:val="000000"/>
                <w:sz w:val="18"/>
                <w:szCs w:val="18"/>
              </w:rPr>
              <w:t>通过开展安康杯竞赛活动，引领全市各级工会组织带动全市职工积极参加安全生产、劳动保护和职业健康工作。</w:t>
            </w:r>
          </w:p>
        </w:tc>
      </w:tr>
      <w:tr>
        <w:tblPrEx>
          <w:tblCellMar>
            <w:top w:w="0" w:type="dxa"/>
            <w:left w:w="108" w:type="dxa"/>
            <w:bottom w:w="0" w:type="dxa"/>
            <w:right w:w="108" w:type="dxa"/>
          </w:tblCellMar>
        </w:tblPrEx>
        <w:trPr>
          <w:trHeight w:val="563"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bCs/>
                <w:kern w:val="0"/>
                <w:sz w:val="24"/>
              </w:rPr>
            </w:pPr>
            <w:r>
              <w:rPr>
                <w:rFonts w:hint="eastAsia" w:ascii="仿宋_GB2312" w:hAnsi="仿宋_GB2312" w:eastAsia="仿宋_GB2312" w:cs="仿宋_GB2312"/>
                <w:bCs/>
                <w:sz w:val="24"/>
              </w:rPr>
              <w:t>产出成本指标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color w:val="000000"/>
                <w:sz w:val="18"/>
                <w:szCs w:val="18"/>
              </w:rPr>
            </w:pPr>
            <w:r>
              <w:rPr>
                <w:rFonts w:hint="eastAsia" w:ascii="Calibri" w:hAnsi="Calibri" w:cs="Arial"/>
                <w:color w:val="000000"/>
                <w:sz w:val="18"/>
                <w:szCs w:val="18"/>
              </w:rPr>
              <w:t>切实维护职工劳动经济权益，发挥劳动争议调解体系和多部门联动调解机制的作用。</w:t>
            </w:r>
          </w:p>
        </w:tc>
      </w:tr>
      <w:tr>
        <w:tblPrEx>
          <w:tblCellMar>
            <w:top w:w="0" w:type="dxa"/>
            <w:left w:w="108" w:type="dxa"/>
            <w:bottom w:w="0" w:type="dxa"/>
            <w:right w:w="108" w:type="dxa"/>
          </w:tblCellMar>
        </w:tblPrEx>
        <w:trPr>
          <w:trHeight w:val="692"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bCs/>
                <w:kern w:val="0"/>
                <w:sz w:val="24"/>
              </w:rPr>
            </w:pPr>
            <w:r>
              <w:rPr>
                <w:rFonts w:hint="eastAsia" w:ascii="仿宋_GB2312" w:hAnsi="仿宋_GB2312" w:eastAsia="仿宋_GB2312" w:cs="仿宋_GB2312"/>
                <w:bCs/>
                <w:kern w:val="0"/>
                <w:sz w:val="24"/>
                <w:lang w:eastAsia="zh-CN"/>
              </w:rPr>
              <w:t>社会</w:t>
            </w:r>
            <w:r>
              <w:rPr>
                <w:rFonts w:hint="eastAsia" w:ascii="仿宋_GB2312" w:hAnsi="仿宋_GB2312" w:eastAsia="仿宋_GB2312" w:cs="仿宋_GB2312"/>
                <w:bCs/>
                <w:kern w:val="0"/>
                <w:sz w:val="24"/>
              </w:rPr>
              <w:t>效益指标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color w:val="000000"/>
                <w:sz w:val="18"/>
                <w:szCs w:val="18"/>
              </w:rPr>
            </w:pPr>
            <w:r>
              <w:rPr>
                <w:rFonts w:hint="eastAsia" w:ascii="Calibri" w:hAnsi="Calibri" w:cs="Arial"/>
                <w:color w:val="000000"/>
                <w:sz w:val="18"/>
                <w:szCs w:val="18"/>
              </w:rPr>
              <w:t>建立专项帮扶资金长效机制，在生活、助学、医疗等方面实施分层分类帮扶，切实帮助困难职工解困脱困。</w:t>
            </w:r>
          </w:p>
        </w:tc>
      </w:tr>
      <w:tr>
        <w:tblPrEx>
          <w:tblCellMar>
            <w:top w:w="0" w:type="dxa"/>
            <w:left w:w="108" w:type="dxa"/>
            <w:bottom w:w="0" w:type="dxa"/>
            <w:right w:w="108" w:type="dxa"/>
          </w:tblCellMar>
        </w:tblPrEx>
        <w:trPr>
          <w:trHeight w:val="841"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lang w:eastAsia="zh-CN"/>
              </w:rPr>
              <w:t>社会</w:t>
            </w:r>
            <w:r>
              <w:rPr>
                <w:rFonts w:hint="eastAsia" w:ascii="仿宋_GB2312" w:hAnsi="仿宋_GB2312" w:eastAsia="仿宋_GB2312" w:cs="仿宋_GB2312"/>
                <w:bCs/>
                <w:kern w:val="0"/>
                <w:sz w:val="24"/>
              </w:rPr>
              <w:t>效益指标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hint="eastAsia" w:ascii="Calibri" w:hAnsi="Calibri" w:cs="Arial"/>
                <w:color w:val="000000"/>
                <w:sz w:val="18"/>
                <w:szCs w:val="18"/>
              </w:rPr>
            </w:pPr>
            <w:r>
              <w:rPr>
                <w:rFonts w:hint="eastAsia" w:ascii="Calibri" w:hAnsi="Calibri" w:cs="Arial"/>
                <w:color w:val="000000"/>
                <w:sz w:val="18"/>
                <w:szCs w:val="18"/>
              </w:rPr>
              <w:t>配合北京中轴线申遗，推动太庙文物修缮，保证文物本体安全，恢复文物历史风貌，做好太庙历史文化专题展。</w:t>
            </w:r>
          </w:p>
        </w:tc>
      </w:tr>
      <w:tr>
        <w:tblPrEx>
          <w:tblCellMar>
            <w:top w:w="0" w:type="dxa"/>
            <w:left w:w="108" w:type="dxa"/>
            <w:bottom w:w="0" w:type="dxa"/>
            <w:right w:w="108" w:type="dxa"/>
          </w:tblCellMar>
        </w:tblPrEx>
        <w:trPr>
          <w:trHeight w:val="925"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bCs/>
                <w:kern w:val="0"/>
                <w:sz w:val="24"/>
              </w:rPr>
            </w:pPr>
            <w:r>
              <w:rPr>
                <w:rFonts w:hint="eastAsia" w:ascii="仿宋_GB2312" w:hAnsi="仿宋_GB2312" w:eastAsia="仿宋_GB2312" w:cs="仿宋_GB2312"/>
                <w:bCs/>
                <w:kern w:val="0"/>
                <w:sz w:val="24"/>
              </w:rPr>
              <w:t>可持续影响指标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color w:val="000000"/>
                <w:sz w:val="18"/>
                <w:szCs w:val="18"/>
              </w:rPr>
            </w:pPr>
            <w:r>
              <w:rPr>
                <w:rFonts w:hint="eastAsia" w:ascii="Calibri" w:hAnsi="Calibri" w:cs="Arial"/>
                <w:color w:val="000000"/>
                <w:sz w:val="18"/>
                <w:szCs w:val="18"/>
              </w:rPr>
              <w:t>关心劳模生活，帮助困难劳模排忧解难，劳模健康疗休养、健康体检的各项政策落实得到保障，在全社会弘扬劳模精神。</w:t>
            </w:r>
          </w:p>
        </w:tc>
      </w:tr>
      <w:tr>
        <w:tblPrEx>
          <w:tblCellMar>
            <w:top w:w="0" w:type="dxa"/>
            <w:left w:w="108" w:type="dxa"/>
            <w:bottom w:w="0" w:type="dxa"/>
            <w:right w:w="108" w:type="dxa"/>
          </w:tblCellMar>
        </w:tblPrEx>
        <w:trPr>
          <w:trHeight w:val="1057"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bCs/>
                <w:kern w:val="0"/>
                <w:sz w:val="24"/>
              </w:rPr>
            </w:pPr>
            <w:r>
              <w:rPr>
                <w:rFonts w:hint="eastAsia" w:ascii="仿宋_GB2312" w:hAnsi="仿宋_GB2312" w:eastAsia="仿宋_GB2312" w:cs="仿宋_GB2312"/>
                <w:bCs/>
                <w:kern w:val="0"/>
                <w:sz w:val="24"/>
              </w:rPr>
              <w:t>服务对象满意度指标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color w:val="000000"/>
                <w:sz w:val="18"/>
                <w:szCs w:val="18"/>
              </w:rPr>
            </w:pPr>
            <w:r>
              <w:rPr>
                <w:rFonts w:hint="eastAsia" w:ascii="Calibri" w:hAnsi="Calibri" w:cs="Arial"/>
                <w:color w:val="000000"/>
                <w:sz w:val="18"/>
                <w:szCs w:val="18"/>
              </w:rPr>
              <w:t>巩固深化厂务公开民主管理工作。</w:t>
            </w:r>
          </w:p>
        </w:tc>
      </w:tr>
      <w:tr>
        <w:tblPrEx>
          <w:tblCellMar>
            <w:top w:w="0" w:type="dxa"/>
            <w:left w:w="108" w:type="dxa"/>
            <w:bottom w:w="0" w:type="dxa"/>
            <w:right w:w="108" w:type="dxa"/>
          </w:tblCellMar>
        </w:tblPrEx>
        <w:trPr>
          <w:trHeight w:val="1097"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rPr>
              <w:t>服务对象满意度指标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hint="eastAsia" w:ascii="Calibri" w:hAnsi="Calibri" w:cs="Arial"/>
                <w:color w:val="000000"/>
                <w:sz w:val="18"/>
                <w:szCs w:val="18"/>
              </w:rPr>
            </w:pPr>
            <w:r>
              <w:rPr>
                <w:rFonts w:hint="eastAsia" w:ascii="Calibri" w:hAnsi="Calibri" w:cs="Arial"/>
                <w:color w:val="000000"/>
                <w:sz w:val="18"/>
                <w:szCs w:val="18"/>
              </w:rPr>
              <w:t>深化首都产业工人队伍建设改革鼓励职工参与群众性经济技术创新活动</w:t>
            </w:r>
            <w:r>
              <w:rPr>
                <w:rFonts w:hint="eastAsia" w:ascii="Calibri" w:hAnsi="Calibri" w:cs="Arial"/>
                <w:color w:val="000000"/>
                <w:sz w:val="18"/>
                <w:szCs w:val="18"/>
                <w:lang w:eastAsia="zh-CN"/>
              </w:rPr>
              <w:t>。</w:t>
            </w:r>
          </w:p>
        </w:tc>
      </w:tr>
    </w:tbl>
    <w:p>
      <w:pPr>
        <w:pStyle w:val="2"/>
        <w:ind w:firstLine="420"/>
        <w:rPr>
          <w:rFonts w:hint="eastAsia"/>
        </w:rPr>
      </w:pPr>
    </w:p>
    <w:p>
      <w:pPr>
        <w:numPr>
          <w:ilvl w:val="0"/>
          <w:numId w:val="1"/>
        </w:numPr>
        <w:spacing w:line="580" w:lineRule="exact"/>
        <w:ind w:left="0" w:leftChars="0"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after="120"/>
        <w:ind w:firstLine="640" w:firstLineChars="200"/>
        <w:rPr>
          <w:rFonts w:hint="eastAsia" w:ascii="仿宋_GB2312" w:hAnsi="仿宋" w:eastAsia="仿宋_GB2312" w:cs="仿宋"/>
          <w:bCs/>
          <w:sz w:val="32"/>
          <w:szCs w:val="32"/>
          <w:lang w:val="en-US" w:eastAsia="zh-CN"/>
        </w:rPr>
      </w:pPr>
      <w:r>
        <w:rPr>
          <w:rFonts w:hint="eastAsia" w:ascii="仿宋_GB2312" w:hAnsi="仿宋" w:eastAsia="仿宋_GB2312" w:cs="仿宋"/>
          <w:bCs/>
          <w:sz w:val="32"/>
          <w:szCs w:val="32"/>
          <w:lang w:val="en-US" w:eastAsia="zh-CN"/>
        </w:rPr>
        <w:t>1.预算整体情况</w:t>
      </w:r>
    </w:p>
    <w:p>
      <w:pPr>
        <w:spacing w:after="120"/>
        <w:ind w:firstLine="640" w:firstLineChars="200"/>
        <w:rPr>
          <w:rFonts w:hint="eastAsia" w:ascii="仿宋_GB2312" w:hAnsi="仿宋" w:eastAsia="仿宋_GB2312" w:cs="仿宋"/>
          <w:bCs/>
          <w:sz w:val="32"/>
          <w:szCs w:val="32"/>
          <w:lang w:val="en-US" w:eastAsia="zh-CN"/>
        </w:rPr>
      </w:pPr>
      <w:r>
        <w:rPr>
          <w:rFonts w:hint="eastAsia" w:ascii="仿宋_GB2312" w:hAnsi="仿宋" w:eastAsia="仿宋_GB2312" w:cs="仿宋"/>
          <w:bCs/>
          <w:sz w:val="32"/>
          <w:szCs w:val="32"/>
          <w:lang w:val="en-US" w:eastAsia="zh-CN"/>
        </w:rPr>
        <w:t>2022年年初预算20,067.05万元，包括基本支出预算13,840.82万元，项目支出预算6,226.22万元。年内追加预算4728.27万元，核减预算1079.96万元。</w:t>
      </w:r>
    </w:p>
    <w:p>
      <w:pPr>
        <w:spacing w:after="120"/>
        <w:ind w:firstLine="640" w:firstLineChars="200"/>
        <w:rPr>
          <w:rFonts w:hint="eastAsia" w:ascii="仿宋_GB2312" w:hAnsi="仿宋" w:eastAsia="仿宋_GB2312" w:cs="仿宋"/>
          <w:bCs/>
          <w:sz w:val="32"/>
          <w:szCs w:val="32"/>
          <w:lang w:val="en-US" w:eastAsia="zh-CN"/>
        </w:rPr>
      </w:pPr>
      <w:r>
        <w:rPr>
          <w:rFonts w:hint="eastAsia" w:ascii="仿宋_GB2312" w:hAnsi="仿宋" w:eastAsia="仿宋_GB2312" w:cs="仿宋"/>
          <w:bCs/>
          <w:sz w:val="32"/>
          <w:szCs w:val="32"/>
          <w:lang w:val="en-US" w:eastAsia="zh-CN"/>
        </w:rPr>
        <w:t>2.预算收入情况</w:t>
      </w:r>
    </w:p>
    <w:p>
      <w:pPr>
        <w:spacing w:after="120"/>
        <w:ind w:firstLine="640" w:firstLineChars="200"/>
        <w:rPr>
          <w:rFonts w:hint="eastAsia" w:ascii="仿宋_GB2312" w:hAnsi="仿宋" w:eastAsia="仿宋_GB2312" w:cs="仿宋"/>
          <w:bCs/>
          <w:sz w:val="32"/>
          <w:szCs w:val="32"/>
          <w:lang w:val="en-US" w:eastAsia="zh-CN"/>
        </w:rPr>
      </w:pPr>
      <w:r>
        <w:rPr>
          <w:rFonts w:hint="eastAsia" w:ascii="仿宋_GB2312" w:hAnsi="仿宋" w:eastAsia="仿宋_GB2312" w:cs="仿宋"/>
          <w:bCs/>
          <w:sz w:val="32"/>
          <w:szCs w:val="32"/>
          <w:lang w:val="en-US" w:eastAsia="zh-CN"/>
        </w:rPr>
        <w:t>2022年共收到财政拨款收入共计24,793.06万元，其中，基本支出预算数15,303.15万元，项目支出预算数9,492.17万元。年内追加预算主要为中轴线申遗相关项目经费。</w:t>
      </w:r>
    </w:p>
    <w:p>
      <w:pPr>
        <w:spacing w:after="120"/>
        <w:ind w:firstLine="640" w:firstLineChars="200"/>
        <w:rPr>
          <w:rFonts w:hint="eastAsia" w:ascii="仿宋_GB2312" w:hAnsi="仿宋" w:eastAsia="仿宋_GB2312" w:cs="仿宋"/>
          <w:bCs/>
          <w:sz w:val="32"/>
          <w:szCs w:val="32"/>
          <w:lang w:val="en-US" w:eastAsia="zh-CN"/>
        </w:rPr>
      </w:pPr>
      <w:r>
        <w:rPr>
          <w:rFonts w:hint="eastAsia" w:ascii="仿宋_GB2312" w:hAnsi="仿宋" w:eastAsia="仿宋_GB2312" w:cs="仿宋"/>
          <w:bCs/>
          <w:sz w:val="32"/>
          <w:szCs w:val="32"/>
          <w:lang w:val="en-US" w:eastAsia="zh-CN"/>
        </w:rPr>
        <w:t>3.预算支出情况</w:t>
      </w:r>
    </w:p>
    <w:p>
      <w:pPr>
        <w:spacing w:after="120"/>
        <w:ind w:firstLine="640" w:firstLineChars="200"/>
        <w:rPr>
          <w:rFonts w:hint="eastAsia" w:ascii="仿宋_GB2312" w:hAnsi="仿宋" w:eastAsia="仿宋_GB2312" w:cs="仿宋"/>
          <w:bCs/>
          <w:sz w:val="32"/>
          <w:szCs w:val="32"/>
          <w:lang w:val="en-US" w:eastAsia="zh-CN"/>
        </w:rPr>
      </w:pPr>
      <w:r>
        <w:rPr>
          <w:rFonts w:hint="eastAsia" w:ascii="仿宋_GB2312" w:hAnsi="仿宋" w:eastAsia="仿宋_GB2312" w:cs="仿宋"/>
          <w:bCs/>
          <w:sz w:val="32"/>
          <w:szCs w:val="32"/>
          <w:lang w:val="en-US" w:eastAsia="zh-CN"/>
        </w:rPr>
        <w:t>2022年全年资金总体支出21,704.43万元，其中，基本支出15,243.41万元，项目支出6,461.02万元。预算执行率为87.54%。</w:t>
      </w:r>
    </w:p>
    <w:p>
      <w:pPr>
        <w:spacing w:line="580" w:lineRule="exact"/>
        <w:ind w:left="105" w:leftChars="50" w:firstLine="480" w:firstLineChars="150"/>
        <w:rPr>
          <w:rFonts w:hint="eastAsia" w:ascii="仿宋_GB2312" w:hAnsi="仿宋" w:eastAsia="仿宋_GB2312" w:cs="仿宋"/>
          <w:bCs/>
          <w:kern w:val="2"/>
          <w:sz w:val="28"/>
          <w:szCs w:val="28"/>
          <w:lang w:val="en-US" w:eastAsia="zh-CN" w:bidi="ar-SA"/>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pPr>
        <w:pStyle w:val="2"/>
        <w:ind w:firstLine="56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截至2022年底，保障了行政编制在职人员8人，事业编制在职人员367人的日常基本支出，保障离休人员25人，退休人员1922人的统筹外经费，能够保证各预算单位正常运转。完成了预算单位重点职能工作保障项目，包括困难职工帮扶资金、市级劳模专项补助资金、中轴线申遗文物修缮保护项目资金等项目，评选出30家市级创新工作室及100对“名师带徒”，创新领域涵盖信息技术、节能环保等战略性新兴产业等，开展全市在档困难职工家庭生活救助、子女助学、医疗救助工作，帮助在档困难职工实现解困脱困，中轴线申遗专项资金能够按照项目评审报告申报执行，资金拨付标准符合相关法律法规及本部门本单位规章制度。</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w:t>
      </w:r>
      <w:r>
        <w:rPr>
          <w:rFonts w:ascii="仿宋_GB2312" w:hAnsi="宋体" w:eastAsia="仿宋_GB2312" w:cs="宋体"/>
          <w:color w:val="000000"/>
          <w:kern w:val="0"/>
          <w:sz w:val="32"/>
          <w:szCs w:val="32"/>
        </w:rPr>
        <w:t>质量</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劳模专项资金切实保障劳模切身利益，提高低收入劳模生活水平，妥善解决劳模日常生活中存在的特殊困难，扩大党和政府对劳模群体的重视与关心，也更加有利于在全社会营造关心劳模、学习劳模、争当劳模的浓厚氛围。在构建和谐劳动关系、切实维护广大职工的合法权益、维护社会稳定等方面起到积极作用，教育职工不断提高思想道德、技术业务和科学文化素质，提升职工队伍素质水平，促进服务职工水平提升。中轴线申遗相关项目不断加强和规范太庙文物保护工作，合理开展太庙修缮，消除古建安全隐患，推动太庙的历史溯源、沿革、祭祀制度、古建筑等历史文化的研究工作，为中轴线申遗和日常相关文化活动的开展奠定基础。</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3.产出</w:t>
      </w:r>
      <w:r>
        <w:rPr>
          <w:rFonts w:ascii="仿宋_GB2312" w:hAnsi="宋体" w:eastAsia="仿宋_GB2312" w:cs="宋体"/>
          <w:color w:val="000000"/>
          <w:kern w:val="0"/>
          <w:sz w:val="32"/>
          <w:szCs w:val="32"/>
        </w:rPr>
        <w:t>进度</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2022年，各预算单位根据预算申报内容执行相关项目，项目专款专用，资金拨付及预算调整均有完整的审批程序。“市级劳模专项补助资金”项目的劳模疗休养因疫情原因中断，结余资金已报市财政局完成预算调整，太庙戟门、祧庙、牺牲所等修缮工程为年内按照中轴线申遗计划追加预算，分三年执行完成。</w:t>
      </w:r>
    </w:p>
    <w:p>
      <w:pPr>
        <w:pStyle w:val="2"/>
        <w:numPr>
          <w:ilvl w:val="0"/>
          <w:numId w:val="0"/>
        </w:numPr>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p>
    <w:p>
      <w:pPr>
        <w:pStyle w:val="2"/>
        <w:numPr>
          <w:ilvl w:val="0"/>
          <w:numId w:val="0"/>
        </w:numPr>
        <w:ind w:firstLine="640" w:firstLineChars="20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 xml:space="preserve">各预算单位在预算执行过程中，能够遵守相关政策法规的要求，严格财政支出的成本控制，在执行中对偏差情况及时申报调整预算，提高了预算执行率，也进一步减少预算成本占用；下一步需要继续强化预算项目按计划及时完成了年初设定的目标任务，对于管理过程资料加强档案全过程的完整性，提高产出实际达成情况的可考核性。                                  </w:t>
      </w:r>
    </w:p>
    <w:p>
      <w:pPr>
        <w:pStyle w:val="2"/>
        <w:numPr>
          <w:ilvl w:val="0"/>
          <w:numId w:val="2"/>
        </w:numPr>
        <w:ind w:firstLine="560"/>
        <w:rPr>
          <w:rFonts w:ascii="楷体_GB2312" w:eastAsia="楷体_GB2312"/>
          <w:sz w:val="32"/>
          <w:szCs w:val="32"/>
        </w:rPr>
      </w:pPr>
      <w:r>
        <w:rPr>
          <w:rFonts w:hint="eastAsia" w:ascii="楷体_GB2312" w:eastAsia="楷体_GB2312"/>
          <w:sz w:val="32"/>
          <w:szCs w:val="32"/>
        </w:rPr>
        <w:t>效果</w:t>
      </w:r>
      <w:r>
        <w:rPr>
          <w:rFonts w:ascii="楷体_GB2312" w:eastAsia="楷体_GB2312"/>
          <w:sz w:val="32"/>
          <w:szCs w:val="32"/>
        </w:rPr>
        <w:t>实现情况分析</w:t>
      </w:r>
    </w:p>
    <w:p>
      <w:pPr>
        <w:pStyle w:val="2"/>
        <w:numPr>
          <w:ilvl w:val="0"/>
          <w:numId w:val="0"/>
        </w:numPr>
        <w:ind w:firstLine="640" w:firstLineChars="20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1.经济效益</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部门预算资金较好保障了各预算单位运转及主要职能工作，能够按照全国总工会工作要点，保质保量完成工作任务，提升职工服务、维权水平，提高太庙的文物修缮保护水平，更深层次挖掘太庙历史文化底蕴，助力中轴线申遗成功，项目实施产生的经济效益，缺少相关数据资料作为支撑；所产生的经济效益量化需要进一步加强。</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2.社会效益</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通过各项目的设立与实施，</w:t>
      </w:r>
      <w:bookmarkStart w:id="1" w:name="_Hlk103610124"/>
      <w:r>
        <w:rPr>
          <w:rFonts w:hint="eastAsia" w:ascii="仿宋_GB2312" w:hAnsi="仿宋" w:eastAsia="仿宋_GB2312" w:cs="仿宋"/>
          <w:bCs/>
          <w:kern w:val="2"/>
          <w:sz w:val="32"/>
          <w:szCs w:val="32"/>
          <w:lang w:val="en-US" w:eastAsia="zh-CN" w:bidi="ar-SA"/>
        </w:rPr>
        <w:t>确保全市在档困难职工家庭基本生活持续改善</w:t>
      </w:r>
      <w:bookmarkEnd w:id="1"/>
      <w:r>
        <w:rPr>
          <w:rFonts w:hint="eastAsia" w:ascii="仿宋_GB2312" w:hAnsi="仿宋" w:eastAsia="仿宋_GB2312" w:cs="仿宋"/>
          <w:bCs/>
          <w:kern w:val="2"/>
          <w:sz w:val="32"/>
          <w:szCs w:val="32"/>
          <w:lang w:val="en-US" w:eastAsia="zh-CN" w:bidi="ar-SA"/>
        </w:rPr>
        <w:t>，缓解困难职工家庭基本的生活困难，防止其返困返贫。推动了各级工会组织劳模工作的不断完善，充分发挥工会作为劳模日常服务管理部门的作用。在加强首都劳模队伍建设过程中，通过与有关部门的沟通协调，立足劳模需要，反映劳模诉求，设立本单位、本地区、本系统劳模工作资金与长效机制，创新了劳模服务载体和手段，不断充实完善了劳模服务内容、形式、方法等，实现了服务工作在更高层面的系统整合。各项目实施发挥了应有的社会效益，基本达到预期设定指标，充分呈现财政资金成效，发挥了应有的社会效益，但个别项目的绩效成果展现不够显著，实施效果的呈现及总结仍需进一步加强。</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3.环境效益</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各预算单位的履职及2022年的工作任务不产生直接或间接的环境效益。</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4.可持续性影响</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向困难职工提供全年的救助资金，确保全市在档困难职工家庭基本生活持续改善，进一步体现了工会组织对困难职工的关心与关怀，维护了社会的和谐稳定。用劳模的先进事迹、崇高思想和优秀品质感召职工群众，激励广大职工不断提高自身素质，充分发挥工人阶级主力军作用，为推动经济又好又快发展积极贡献力量。用先进的技术手段打造综合业务系统，使市总工会业务适应技术发展要求，提高了相关单位、相关部门的办事效率，节省了市总工会干部及其他服务群体办事成本。项目的实施具有可持续影响，产生的可持续影响效益基本达到预期设定指标，但部分项目在执行过程中缺乏跟踪过程和监管措施，针对绩效效果的数据汇总分析不够深入。</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5.服务对象满意度</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本部门针对健康体检项目开展了满意度调查，服务对象对该项目的实施过程满意度较高。通过家庭走访、电话回访等方式开展满意度调查，了解困难职工对帮扶资金效果的满意度，并通过市总工会12351职工服务热线接受困难职工监督。但是仍存在满意度调查资料不够全面，缺少总体满意度调查报告就研究分析等问题。</w:t>
      </w:r>
    </w:p>
    <w:p>
      <w:pPr>
        <w:pStyle w:val="2"/>
        <w:numPr>
          <w:ilvl w:val="0"/>
          <w:numId w:val="1"/>
        </w:numPr>
        <w:ind w:left="0" w:leftChars="0" w:firstLine="640" w:firstLineChars="200"/>
        <w:rPr>
          <w:rFonts w:ascii="黑体" w:hAnsi="黑体" w:eastAsia="黑体" w:cs="宋体"/>
          <w:color w:val="000000"/>
          <w:kern w:val="0"/>
          <w:sz w:val="32"/>
          <w:szCs w:val="32"/>
        </w:rPr>
      </w:pP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1.财务管理制度健全性</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为做好预算管理工作，规范预算的执行程序，提高项目执行效率，市总工会编制并严格执行《制度汇编》、《内部控制规范手册》等一系列规章制度，并及时依据相关法律法规修订完善制度体系。2022年重新制定《北京市总工会重大项目安排管理办法》（京工办发〔2022〕38号）、《北京市总工会大额资金使用管理办法》（京工办发〔2022〕39号）、《北京市总工会资金支付管理办法》（京工办发〔2022〕40号），分别代替原有的《北京市总工会重大项目评审管理办法（试行）》（京工办发〔2015〕42 号）、《北京市总工会大额资金支出管理办法》（京工办发〔2018〕12 号）、《北京市总工会非大额资金管理办法》（京工办发〔2018〕13 号）。新颁布的三个制度完善了“重大项目、大额资金使用、资金支付”等方面的内涵和外延界定、厘清了职责、明确了流程。进一步规范了产业工会、机关各部门、市总直属单位的预算申报和资金使用管理。</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2.资金使用合规性和安全性</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在2022年部门预算管理中，项目能够将厉行节约与部门预算管理相结合，从严从紧编制预算，严格控制“三公经费”等一般性支出，通过加大执行环节控制，提高预算资金使用的合规性和安全性，采取的方式方法有：一是严格按照部门预算批复执行，坚持统筹兼顾、指标控制、从严考核的原则，紧紧围绕部门发展需要确定基本支出和项目支出预算，严格执行专项资金管理制度，不挪用和挤占项目资金，确保资金使用安全。二是涉及北京市中轴线申遗专项资金项目资金均按照三年行动计划安排，执行市文物局和市财政局双重审批，并履行“三重一大”程序，对属于政府采购项目的支出，严格履行政府采购程序，确保资金使用的安全性和合规性。</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受疫情影响部分项目内容无法开展，在项目执行过程中能够及时申请市财政局进行预算资金的调整，提高预算资金的使用效率。预算执行调整幅度大，不利于预算资金管理，需更加关注预算编制的预判。</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3.会计基础信息完善性</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在内控制度建设的基础上，结合预算执行中发现的问题，能够进一步完善财务管理制度。同时，加强会计核算基本工作，保证会计资料准确、完整，部门基础信息管理较好。预算资金的使用与相关的预算财务管理制度相符，同时，符合国家财经法规和财务管理制度规定，以及有关专项资金管理办法的规定。根据财政局关于做好部门预决算公开的相关要求，应将预算信息及时公开，本部门及所属事业单位均及时并完整的向社会公开部门的预决算信息。</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（二）资产管理</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在资产管理工作中，按时完成部门资产动态系统的年度报告工作，严格按照资产配置标准配置资产，对不能正常使用并达到最高使用年限的资产进行报废处置。国有资产报告涉及2家预算单位，分别为北京市职工服务中心、北京市总工会职工大学。其他单位均不含财政资金形成资产，年末结余上缴返还财政。项目单位固定资产管理制度较明确，严格按照资产配置标准配置资产，相关部门和岗位的职责权限明确，管理方式上认真落实资产管理制度，确保每项资产都要“责任到人”；资产管理人变更及时变更管理库中的信息，办理交接手续，落实新的接任人；部门之间的衔接通畅，不留管理空白点。但对资产使用有效性管控不强，加强对资产的动态管理，对不能正常使用并达到最高使用年限的资产及时报废处置。</w:t>
      </w:r>
    </w:p>
    <w:p>
      <w:pPr>
        <w:pStyle w:val="2"/>
        <w:ind w:firstLine="560"/>
        <w:rPr>
          <w:rFonts w:hint="eastAsia" w:ascii="仿宋_GB2312" w:hAnsi="仿宋" w:eastAsia="仿宋_GB2312" w:cs="仿宋"/>
          <w:bCs/>
          <w:kern w:val="2"/>
          <w:sz w:val="32"/>
          <w:szCs w:val="32"/>
          <w:lang w:val="en-US" w:eastAsia="zh-CN" w:bidi="ar-SA"/>
        </w:rPr>
      </w:pPr>
      <w:r>
        <w:rPr>
          <w:rFonts w:hint="eastAsia" w:ascii="楷体_GB2312" w:eastAsia="楷体_GB2312"/>
          <w:sz w:val="32"/>
          <w:szCs w:val="32"/>
        </w:rPr>
        <w:t>（三）绩效</w:t>
      </w:r>
      <w:r>
        <w:rPr>
          <w:rFonts w:ascii="楷体_GB2312" w:eastAsia="楷体_GB2312"/>
          <w:sz w:val="32"/>
          <w:szCs w:val="32"/>
        </w:rPr>
        <w:t>管理</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在项目管理方面，在项目实施过程中进行定期和不定期检查，对存在不规范的项目及时跟进处理，做到事前控制、事中监督、事后评价，通过规范业务流程，构筑内部监督管理体系。更加重视科学决策，进一步细化项目预算内容和规划目标，针对重点工作内容制定相关专项方案，加强项目可研、中长期计划对部门决策的引领和指导，为合理设定部门整体绩效目标、产出指标、精准编制预算提供可靠依据，服务对象对目前的政策补贴及保障措施等各个方面满意程度较高，满意度均超过了90%。但是部分项目执行部门管理留痕资料不够完整，产出质量指标、社会效益指标缺少实质性内容，各部分职能对应的统计指标数据，缺少数据资料作为支撑，服务对象满意度指标设定需进一步明确，提高可衡量性。</w:t>
      </w:r>
    </w:p>
    <w:p>
      <w:pPr>
        <w:pStyle w:val="2"/>
        <w:numPr>
          <w:ilvl w:val="0"/>
          <w:numId w:val="0"/>
        </w:numPr>
        <w:ind w:firstLine="640" w:firstLineChars="200"/>
        <w:rPr>
          <w:rFonts w:hint="eastAsia" w:ascii="仿宋_GB2312" w:hAnsi="仿宋" w:eastAsia="仿宋_GB2312" w:cs="仿宋"/>
          <w:bCs/>
          <w:kern w:val="2"/>
          <w:sz w:val="32"/>
          <w:szCs w:val="32"/>
          <w:lang w:val="en-US" w:eastAsia="zh-CN" w:bidi="ar-SA"/>
        </w:rPr>
      </w:pPr>
      <w:r>
        <w:rPr>
          <w:rFonts w:hint="eastAsia" w:ascii="楷体_GB2312" w:eastAsia="楷体_GB2312"/>
          <w:sz w:val="32"/>
          <w:szCs w:val="32"/>
        </w:rPr>
        <w:t>（四）结转结余率</w:t>
      </w:r>
    </w:p>
    <w:p>
      <w:pPr>
        <w:pStyle w:val="2"/>
        <w:numPr>
          <w:ilvl w:val="0"/>
          <w:numId w:val="0"/>
        </w:numPr>
        <w:ind w:firstLine="640" w:firstLineChars="20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2022年度年末结转和结余财政性资金3088.64万元，部门结转结余率12.46%，比上年结转结余率5.19%</w:t>
      </w:r>
      <w:r>
        <w:rPr>
          <w:rFonts w:hint="eastAsia" w:ascii="仿宋_GB2312" w:hAnsi="仿宋" w:eastAsia="仿宋_GB2312" w:cs="仿宋"/>
          <w:bCs/>
          <w:kern w:val="2"/>
          <w:sz w:val="32"/>
          <w:szCs w:val="32"/>
          <w:lang w:val="en-US" w:eastAsia="zh-CN" w:bidi="ar-SA"/>
        </w:rPr>
        <w:t>高7个百分点，主要为中轴线申遗相关专项按照申遗计划年内追加预算资金。其中：基本支出59.74万元，项目支出3028.90万元。具体情况说明：文化宫结余58.36万元，结转2721.21万元，占比90%，项目结转主要为年中追加“太庙汉白玉构件保护项目（一期）”项目结转253.74万元，“太庙戟门、祧庙、牺牲所等修缮工程”项目结转2164.61万元；“太庙非文物建筑拆除区域环境整治工程”项目结转302.86万元，结余58.36万元。其他单位均为基本及项目资金结余，年末上缴财政。</w:t>
      </w:r>
    </w:p>
    <w:p>
      <w:pPr>
        <w:pStyle w:val="2"/>
        <w:ind w:firstLine="560"/>
        <w:rPr>
          <w:rFonts w:hint="eastAsia" w:ascii="仿宋_GB2312" w:hAnsi="仿宋" w:eastAsia="仿宋_GB2312" w:cs="仿宋"/>
          <w:bCs/>
          <w:kern w:val="2"/>
          <w:sz w:val="32"/>
          <w:szCs w:val="32"/>
          <w:lang w:val="en-US" w:eastAsia="zh-CN" w:bidi="ar-SA"/>
        </w:rPr>
      </w:pPr>
      <w:r>
        <w:rPr>
          <w:rFonts w:hint="eastAsia" w:ascii="楷体_GB2312" w:eastAsia="楷体_GB2312"/>
          <w:sz w:val="32"/>
          <w:szCs w:val="32"/>
        </w:rPr>
        <w:t>（五）部门</w:t>
      </w:r>
      <w:r>
        <w:rPr>
          <w:rFonts w:ascii="楷体_GB2312" w:eastAsia="楷体_GB2312"/>
          <w:sz w:val="32"/>
          <w:szCs w:val="32"/>
        </w:rPr>
        <w:t>预决算差异率</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2022年度部门预决算差异率23.55%，部门预决算差异率低于市级平均差异率，存在年内依据中轴线申遗工作安排追加专项资金预算较多，并对年内依据实际情况确需调整项目上报市财政局统筹调整，相关结余资金全部上缴财政，更好发挥财政资金使用效益。</w:t>
      </w:r>
    </w:p>
    <w:p>
      <w:pPr>
        <w:pStyle w:val="2"/>
        <w:numPr>
          <w:ilvl w:val="0"/>
          <w:numId w:val="1"/>
        </w:numPr>
        <w:ind w:left="0" w:leftChars="0" w:firstLine="640" w:firstLineChars="200"/>
        <w:rPr>
          <w:rFonts w:ascii="黑体" w:hAnsi="黑体" w:eastAsia="黑体"/>
          <w:sz w:val="32"/>
          <w:szCs w:val="32"/>
        </w:rPr>
      </w:pPr>
      <w:r>
        <w:rPr>
          <w:rFonts w:hint="eastAsia" w:ascii="黑体" w:hAnsi="黑体" w:eastAsia="黑体"/>
          <w:sz w:val="32"/>
          <w:szCs w:val="32"/>
        </w:rPr>
        <w:t>总体</w:t>
      </w:r>
      <w:r>
        <w:rPr>
          <w:rFonts w:ascii="黑体" w:hAnsi="黑体" w:eastAsia="黑体"/>
          <w:sz w:val="32"/>
          <w:szCs w:val="32"/>
        </w:rPr>
        <w:t>评价结论</w:t>
      </w:r>
    </w:p>
    <w:p>
      <w:pPr>
        <w:pStyle w:val="2"/>
        <w:numPr>
          <w:ilvl w:val="0"/>
          <w:numId w:val="0"/>
        </w:numPr>
        <w:ind w:leftChars="200"/>
        <w:rPr>
          <w:rFonts w:hint="eastAsia" w:ascii="仿宋_GB2312" w:hAnsi="仿宋" w:eastAsia="仿宋_GB2312" w:cs="仿宋"/>
          <w:bCs/>
          <w:kern w:val="2"/>
          <w:sz w:val="32"/>
          <w:szCs w:val="32"/>
          <w:lang w:val="en-US" w:eastAsia="zh-CN" w:bidi="ar-SA"/>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经过部门绩效评价工作组评议，北京市总工会2022年度部门整体支出绩效评价综合得分89.71分，其中，部门决策17.51分，部门管理58分，部门绩效14.2分，综合绩效评定结论为“89.71”，具体情况详见下表。</w:t>
      </w:r>
    </w:p>
    <w:p>
      <w:pPr>
        <w:spacing w:before="156" w:beforeLines="50" w:line="560" w:lineRule="exact"/>
        <w:jc w:val="center"/>
        <w:rPr>
          <w:rFonts w:ascii="仿宋_GB2312" w:hAnsi="仿宋" w:eastAsia="仿宋_GB2312" w:cs="仿宋"/>
          <w:bCs/>
          <w:sz w:val="28"/>
          <w:szCs w:val="28"/>
        </w:rPr>
      </w:pPr>
      <w:r>
        <w:rPr>
          <w:rFonts w:hint="eastAsia" w:ascii="仿宋_GB2312" w:hAnsi="仿宋" w:eastAsia="仿宋_GB2312" w:cs="仿宋"/>
          <w:bCs/>
          <w:sz w:val="28"/>
          <w:szCs w:val="28"/>
          <w:lang w:eastAsia="zh-CN"/>
        </w:rPr>
        <w:t>2022</w:t>
      </w:r>
      <w:r>
        <w:rPr>
          <w:rFonts w:ascii="仿宋_GB2312" w:hAnsi="仿宋" w:eastAsia="仿宋_GB2312" w:cs="仿宋"/>
          <w:bCs/>
          <w:sz w:val="28"/>
          <w:szCs w:val="28"/>
        </w:rPr>
        <w:t>年度部门整体支出绩效评价结论一览表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3181"/>
        <w:gridCol w:w="3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1981" w:type="dxa"/>
            <w:shd w:val="clear" w:color="auto" w:fill="BEBEBE"/>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hint="eastAsia" w:ascii="仿宋_GB2312" w:hAnsi="宋体" w:eastAsia="仿宋_GB2312"/>
                <w:b/>
                <w:sz w:val="28"/>
                <w:szCs w:val="28"/>
              </w:rPr>
              <w:t>评价内容</w:t>
            </w:r>
          </w:p>
        </w:tc>
        <w:tc>
          <w:tcPr>
            <w:tcW w:w="3181" w:type="dxa"/>
            <w:shd w:val="clear" w:color="auto" w:fill="BEBEBE"/>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hint="eastAsia" w:ascii="仿宋_GB2312" w:hAnsi="宋体" w:eastAsia="仿宋_GB2312"/>
                <w:b/>
                <w:sz w:val="28"/>
                <w:szCs w:val="28"/>
              </w:rPr>
              <w:t>分值</w:t>
            </w:r>
          </w:p>
        </w:tc>
        <w:tc>
          <w:tcPr>
            <w:tcW w:w="3367" w:type="dxa"/>
            <w:shd w:val="clear" w:color="auto" w:fill="BEBEBE"/>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hint="eastAsia" w:ascii="仿宋_GB2312" w:hAnsi="宋体" w:eastAsia="仿宋_GB2312"/>
                <w:b/>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981" w:type="dxa"/>
            <w:noWrap w:val="0"/>
            <w:vAlign w:val="center"/>
          </w:tcPr>
          <w:p>
            <w:pPr>
              <w:pStyle w:val="2"/>
              <w:adjustRightInd w:val="0"/>
              <w:snapToGrid w:val="0"/>
              <w:spacing w:before="156" w:beforeLines="50" w:after="156" w:afterLines="50"/>
              <w:ind w:firstLine="0" w:firstLineChars="0"/>
              <w:jc w:val="center"/>
              <w:rPr>
                <w:rFonts w:ascii="仿宋_GB2312" w:hAnsi="宋体" w:eastAsia="仿宋_GB2312"/>
                <w:b/>
                <w:sz w:val="28"/>
                <w:szCs w:val="28"/>
              </w:rPr>
            </w:pPr>
            <w:r>
              <w:rPr>
                <w:rFonts w:eastAsia="仿宋_GB2312"/>
                <w:b/>
                <w:sz w:val="28"/>
                <w:szCs w:val="28"/>
              </w:rPr>
              <w:t>部门决策</w:t>
            </w:r>
          </w:p>
        </w:tc>
        <w:tc>
          <w:tcPr>
            <w:tcW w:w="3181" w:type="dxa"/>
            <w:noWrap w:val="0"/>
            <w:vAlign w:val="center"/>
          </w:tcPr>
          <w:p>
            <w:pPr>
              <w:adjustRightInd w:val="0"/>
              <w:snapToGrid w:val="0"/>
              <w:spacing w:before="156" w:beforeLines="50" w:after="156" w:afterLines="50"/>
              <w:jc w:val="center"/>
              <w:rPr>
                <w:rFonts w:hint="default" w:ascii="仿宋_GB2312" w:hAnsi="宋体" w:eastAsia="仿宋_GB2312"/>
                <w:b/>
                <w:sz w:val="28"/>
                <w:szCs w:val="28"/>
                <w:lang w:val="en-US" w:eastAsia="zh-CN"/>
              </w:rPr>
            </w:pPr>
            <w:r>
              <w:rPr>
                <w:rFonts w:hint="eastAsia" w:ascii="仿宋_GB2312" w:hAnsi="宋体" w:eastAsia="仿宋_GB2312"/>
                <w:b/>
                <w:sz w:val="28"/>
                <w:szCs w:val="28"/>
                <w:lang w:val="en-US" w:eastAsia="zh-CN"/>
              </w:rPr>
              <w:t>20</w:t>
            </w:r>
          </w:p>
        </w:tc>
        <w:tc>
          <w:tcPr>
            <w:tcW w:w="3367" w:type="dxa"/>
            <w:noWrap w:val="0"/>
            <w:vAlign w:val="center"/>
          </w:tcPr>
          <w:p>
            <w:pPr>
              <w:adjustRightInd w:val="0"/>
              <w:snapToGrid w:val="0"/>
              <w:spacing w:before="156" w:beforeLines="50" w:after="156" w:afterLines="50"/>
              <w:jc w:val="center"/>
              <w:rPr>
                <w:rFonts w:hint="default" w:ascii="仿宋_GB2312" w:hAnsi="宋体" w:eastAsia="仿宋_GB2312"/>
                <w:b/>
                <w:sz w:val="28"/>
                <w:szCs w:val="28"/>
                <w:lang w:val="en-US" w:eastAsia="zh-CN"/>
              </w:rPr>
            </w:pPr>
            <w:r>
              <w:rPr>
                <w:rFonts w:hint="eastAsia" w:ascii="仿宋_GB2312" w:hAnsi="宋体" w:eastAsia="仿宋_GB2312"/>
                <w:b/>
                <w:sz w:val="28"/>
                <w:szCs w:val="28"/>
              </w:rPr>
              <w:t>1</w:t>
            </w:r>
            <w:r>
              <w:rPr>
                <w:rFonts w:hint="eastAsia" w:ascii="仿宋_GB2312" w:hAnsi="宋体" w:eastAsia="仿宋_GB2312"/>
                <w:b/>
                <w:sz w:val="28"/>
                <w:szCs w:val="28"/>
                <w:lang w:val="en-US" w:eastAsia="zh-CN"/>
              </w:rPr>
              <w:t>7.51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981" w:type="dxa"/>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eastAsia="仿宋_GB2312"/>
                <w:b/>
                <w:sz w:val="28"/>
                <w:szCs w:val="28"/>
              </w:rPr>
              <w:t>部门管理</w:t>
            </w:r>
          </w:p>
        </w:tc>
        <w:tc>
          <w:tcPr>
            <w:tcW w:w="3181" w:type="dxa"/>
            <w:noWrap w:val="0"/>
            <w:vAlign w:val="center"/>
          </w:tcPr>
          <w:p>
            <w:pPr>
              <w:adjustRightInd w:val="0"/>
              <w:snapToGrid w:val="0"/>
              <w:spacing w:before="156" w:beforeLines="50" w:after="156" w:afterLines="50"/>
              <w:jc w:val="center"/>
              <w:rPr>
                <w:rFonts w:hint="default" w:ascii="仿宋_GB2312" w:hAnsi="宋体" w:eastAsia="仿宋_GB2312"/>
                <w:b/>
                <w:sz w:val="28"/>
                <w:szCs w:val="28"/>
                <w:lang w:val="en-US" w:eastAsia="zh-CN"/>
              </w:rPr>
            </w:pPr>
            <w:r>
              <w:rPr>
                <w:rFonts w:hint="eastAsia" w:ascii="仿宋_GB2312" w:hAnsi="宋体" w:eastAsia="仿宋_GB2312"/>
                <w:b/>
                <w:sz w:val="28"/>
                <w:szCs w:val="28"/>
                <w:lang w:val="en-US" w:eastAsia="zh-CN"/>
              </w:rPr>
              <w:t>60</w:t>
            </w:r>
          </w:p>
        </w:tc>
        <w:tc>
          <w:tcPr>
            <w:tcW w:w="3367" w:type="dxa"/>
            <w:noWrap w:val="0"/>
            <w:vAlign w:val="center"/>
          </w:tcPr>
          <w:p>
            <w:pPr>
              <w:adjustRightInd w:val="0"/>
              <w:snapToGrid w:val="0"/>
              <w:spacing w:before="156" w:beforeLines="50" w:after="156" w:afterLines="50"/>
              <w:jc w:val="center"/>
              <w:rPr>
                <w:rFonts w:hint="default" w:ascii="仿宋_GB2312" w:hAnsi="宋体" w:eastAsia="仿宋_GB2312"/>
                <w:b/>
                <w:sz w:val="28"/>
                <w:szCs w:val="28"/>
                <w:lang w:val="en-US" w:eastAsia="zh-CN"/>
              </w:rPr>
            </w:pPr>
            <w:r>
              <w:rPr>
                <w:rFonts w:hint="eastAsia" w:ascii="仿宋_GB2312" w:hAnsi="宋体" w:eastAsia="仿宋_GB2312"/>
                <w:b/>
                <w:sz w:val="28"/>
                <w:szCs w:val="28"/>
                <w:lang w:val="en-US" w:eastAsia="zh-CN"/>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981" w:type="dxa"/>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eastAsia="仿宋_GB2312"/>
                <w:b/>
                <w:sz w:val="28"/>
                <w:szCs w:val="28"/>
              </w:rPr>
              <w:t>部门绩效</w:t>
            </w:r>
          </w:p>
        </w:tc>
        <w:tc>
          <w:tcPr>
            <w:tcW w:w="3181" w:type="dxa"/>
            <w:noWrap w:val="0"/>
            <w:vAlign w:val="center"/>
          </w:tcPr>
          <w:p>
            <w:pPr>
              <w:adjustRightInd w:val="0"/>
              <w:snapToGrid w:val="0"/>
              <w:spacing w:before="156" w:beforeLines="50" w:after="156" w:afterLines="50"/>
              <w:jc w:val="center"/>
              <w:rPr>
                <w:rFonts w:hint="default" w:ascii="仿宋_GB2312" w:hAnsi="宋体" w:eastAsia="仿宋_GB2312"/>
                <w:b/>
                <w:sz w:val="28"/>
                <w:szCs w:val="28"/>
                <w:lang w:val="en-US" w:eastAsia="zh-CN"/>
              </w:rPr>
            </w:pPr>
            <w:r>
              <w:rPr>
                <w:rFonts w:hint="eastAsia" w:ascii="仿宋_GB2312" w:hAnsi="宋体" w:eastAsia="仿宋_GB2312"/>
                <w:b/>
                <w:sz w:val="28"/>
                <w:szCs w:val="28"/>
                <w:lang w:val="en-US" w:eastAsia="zh-CN"/>
              </w:rPr>
              <w:t>20</w:t>
            </w:r>
          </w:p>
        </w:tc>
        <w:tc>
          <w:tcPr>
            <w:tcW w:w="3367" w:type="dxa"/>
            <w:noWrap w:val="0"/>
            <w:vAlign w:val="center"/>
          </w:tcPr>
          <w:p>
            <w:pPr>
              <w:adjustRightInd w:val="0"/>
              <w:snapToGrid w:val="0"/>
              <w:spacing w:before="156" w:beforeLines="50" w:after="156" w:afterLines="50"/>
              <w:jc w:val="center"/>
              <w:rPr>
                <w:rFonts w:hint="default" w:ascii="仿宋_GB2312" w:hAnsi="宋体" w:eastAsia="仿宋_GB2312"/>
                <w:b/>
                <w:sz w:val="28"/>
                <w:szCs w:val="28"/>
                <w:lang w:val="en-US" w:eastAsia="zh-CN"/>
              </w:rPr>
            </w:pPr>
            <w:r>
              <w:rPr>
                <w:rFonts w:hint="eastAsia" w:ascii="仿宋_GB2312" w:hAnsi="宋体" w:eastAsia="仿宋_GB2312"/>
                <w:b/>
                <w:sz w:val="28"/>
                <w:szCs w:val="28"/>
                <w:lang w:val="en-US" w:eastAsia="zh-CN"/>
              </w:rPr>
              <w:t>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981" w:type="dxa"/>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eastAsia="仿宋_GB2312"/>
                <w:b/>
                <w:sz w:val="28"/>
                <w:szCs w:val="28"/>
              </w:rPr>
              <w:t>综合得分</w:t>
            </w:r>
          </w:p>
        </w:tc>
        <w:tc>
          <w:tcPr>
            <w:tcW w:w="3181" w:type="dxa"/>
            <w:noWrap w:val="0"/>
            <w:vAlign w:val="center"/>
          </w:tcPr>
          <w:p>
            <w:pPr>
              <w:adjustRightInd w:val="0"/>
              <w:snapToGrid w:val="0"/>
              <w:spacing w:before="156" w:beforeLines="50" w:after="156" w:afterLines="50"/>
              <w:jc w:val="center"/>
              <w:rPr>
                <w:rFonts w:ascii="仿宋_GB2312" w:hAnsi="宋体" w:eastAsia="仿宋_GB2312"/>
                <w:b/>
                <w:sz w:val="28"/>
                <w:szCs w:val="28"/>
              </w:rPr>
            </w:pPr>
            <w:r>
              <w:rPr>
                <w:rFonts w:ascii="仿宋_GB2312" w:hAnsi="宋体" w:eastAsia="仿宋_GB2312"/>
                <w:b/>
                <w:sz w:val="28"/>
                <w:szCs w:val="28"/>
              </w:rPr>
              <w:t>100</w:t>
            </w:r>
          </w:p>
        </w:tc>
        <w:tc>
          <w:tcPr>
            <w:tcW w:w="3367" w:type="dxa"/>
            <w:noWrap w:val="0"/>
            <w:vAlign w:val="center"/>
          </w:tcPr>
          <w:p>
            <w:pPr>
              <w:adjustRightInd w:val="0"/>
              <w:snapToGrid w:val="0"/>
              <w:spacing w:before="156" w:beforeLines="50" w:after="156" w:afterLines="50"/>
              <w:jc w:val="center"/>
              <w:rPr>
                <w:rFonts w:hint="default" w:ascii="仿宋_GB2312" w:hAnsi="宋体" w:eastAsia="仿宋_GB2312"/>
                <w:b/>
                <w:sz w:val="28"/>
                <w:szCs w:val="28"/>
                <w:lang w:val="en-US" w:eastAsia="zh-CN"/>
              </w:rPr>
            </w:pPr>
            <w:r>
              <w:rPr>
                <w:rFonts w:hint="eastAsia" w:ascii="仿宋_GB2312" w:hAnsi="宋体" w:eastAsia="仿宋_GB2312"/>
                <w:b/>
                <w:sz w:val="28"/>
                <w:szCs w:val="28"/>
                <w:lang w:val="en-US" w:eastAsia="zh-CN"/>
              </w:rPr>
              <w:t>89.71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1981" w:type="dxa"/>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eastAsia="仿宋_GB2312"/>
                <w:b/>
                <w:sz w:val="28"/>
                <w:szCs w:val="28"/>
              </w:rPr>
              <w:t>绩效评定级别</w:t>
            </w:r>
          </w:p>
        </w:tc>
        <w:tc>
          <w:tcPr>
            <w:tcW w:w="6548" w:type="dxa"/>
            <w:gridSpan w:val="2"/>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hint="eastAsia" w:ascii="仿宋_GB2312" w:hAnsi="宋体" w:eastAsia="仿宋_GB2312"/>
                <w:b/>
                <w:sz w:val="28"/>
                <w:szCs w:val="28"/>
              </w:rPr>
              <w:t>良</w:t>
            </w:r>
          </w:p>
        </w:tc>
      </w:tr>
    </w:tbl>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在充分了解项目情况的基础上，逐一对预算项目资料进行核实。按照绩效评价指标体系中的指标考核点和评价重点，及时与项目负责人沟通、指导补充完善资料。其中对市级劳模专项补助资金项目、困难职工帮扶资金、北京市总工会政务云服务等3个项目开展普通评价，聘请第三方事务所及专家开展绩效评价打分，出具绩效评价报告，其他项目均出具绩效自评表，结合以上综合结果，开展部门整体评价，履行市财政项目支出绩效评价程序，能够较好完成全年工作任务，进一步提升绩效管理水平。</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（二）存在的问题及原因分析</w:t>
      </w:r>
    </w:p>
    <w:p>
      <w:pPr>
        <w:pStyle w:val="2"/>
        <w:ind w:firstLine="560"/>
        <w:rPr>
          <w:rFonts w:hint="eastAsia" w:ascii="仿宋_GB2312" w:hAnsi="仿宋" w:eastAsia="仿宋_GB2312" w:cs="仿宋"/>
          <w:bCs/>
          <w:kern w:val="2"/>
          <w:sz w:val="32"/>
          <w:szCs w:val="32"/>
          <w:lang w:val="en-US" w:eastAsia="zh-Hans" w:bidi="ar-SA"/>
        </w:rPr>
      </w:pPr>
      <w:r>
        <w:rPr>
          <w:rFonts w:hint="eastAsia" w:ascii="仿宋_GB2312" w:hAnsi="仿宋" w:eastAsia="仿宋_GB2312" w:cs="仿宋"/>
          <w:bCs/>
          <w:kern w:val="2"/>
          <w:sz w:val="32"/>
          <w:szCs w:val="32"/>
          <w:lang w:val="en-US" w:eastAsia="zh-CN" w:bidi="ar-SA"/>
        </w:rPr>
        <w:t>（1）部门整体绩效总体目标绩效效果指标细化、量化不足，项目决策科学性支撑资料不足；绩效目标申报表填写的不够科学合理，指标设置不完整。实施方案有待完善。动态管理机制呈现不完整，缺少对中间环节的监督检查及项目资金发放后的跟踪措施等相关资料。资金申报与使用的合理性以及与其他部门扶持政策的协同和重复保障程度分析不够，缺少资金使用经济性与效率性的透明度措施。</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2）项目的总体进度规划仍需进一步细化，部分项目预算执行率偏低。部分项目方案中的组织架构不够清楚，责任分工不明确，进度安排不够详细。项目在执行中的预算调整额度和比例均比较大，预算编报科学性有待提升。</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3）该项目的验收工作的资料呈现不够充分，基础数据整理的不够全面。绩效资料缺少对缓解程度进行统计对比分析，评估社会效益实现情况资料支撑不足。缺少满意度调查后研究分析报告，针对不同项目模式，需开展不同的满意度调查工作，通过基础数据采集，全面分析业务工作开展的效果。</w:t>
      </w:r>
    </w:p>
    <w:p>
      <w:pPr>
        <w:pStyle w:val="2"/>
        <w:ind w:firstLine="560"/>
        <w:rPr>
          <w:rFonts w:hint="eastAsia" w:ascii="仿宋_GB2312" w:hAnsi="仿宋" w:eastAsia="仿宋_GB2312" w:cs="仿宋"/>
          <w:bCs/>
          <w:kern w:val="2"/>
          <w:sz w:val="32"/>
          <w:szCs w:val="32"/>
          <w:lang w:val="en-US" w:eastAsia="zh-CN" w:bidi="ar-SA"/>
        </w:rPr>
      </w:pPr>
      <w:r>
        <w:rPr>
          <w:rFonts w:hint="eastAsia" w:ascii="黑体" w:hAnsi="黑体" w:eastAsia="黑体" w:cs="宋体"/>
          <w:color w:val="000000"/>
          <w:kern w:val="0"/>
          <w:sz w:val="32"/>
          <w:szCs w:val="32"/>
        </w:rPr>
        <w:t>六、措施建议</w:t>
      </w:r>
    </w:p>
    <w:p>
      <w:pPr>
        <w:pStyle w:val="2"/>
        <w:ind w:firstLine="560"/>
        <w:rPr>
          <w:rFonts w:hint="eastAsia" w:ascii="仿宋_GB2312" w:hAnsi="仿宋" w:eastAsia="仿宋_GB2312" w:cs="仿宋"/>
          <w:bCs/>
          <w:kern w:val="2"/>
          <w:sz w:val="32"/>
          <w:szCs w:val="32"/>
          <w:lang w:val="en-US" w:eastAsia="zh-CN" w:bidi="ar-SA"/>
        </w:rPr>
      </w:pPr>
      <w:r>
        <w:rPr>
          <w:rFonts w:hint="eastAsia" w:ascii="楷体_GB2312" w:eastAsia="楷体_GB2312"/>
          <w:sz w:val="32"/>
          <w:szCs w:val="32"/>
        </w:rPr>
        <w:t>（</w:t>
      </w:r>
      <w:r>
        <w:rPr>
          <w:rFonts w:hint="eastAsia" w:ascii="楷体_GB2312" w:eastAsia="楷体_GB2312"/>
          <w:sz w:val="32"/>
          <w:szCs w:val="32"/>
          <w:lang w:eastAsia="zh-CN"/>
        </w:rPr>
        <w:t>一</w:t>
      </w:r>
      <w:r>
        <w:rPr>
          <w:rFonts w:hint="eastAsia" w:ascii="楷体_GB2312" w:eastAsia="楷体_GB2312"/>
          <w:sz w:val="32"/>
          <w:szCs w:val="32"/>
        </w:rPr>
        <w:t>）</w:t>
      </w:r>
      <w:r>
        <w:rPr>
          <w:rFonts w:hint="eastAsia" w:ascii="楷体_GB2312" w:eastAsia="楷体_GB2312"/>
          <w:sz w:val="32"/>
          <w:szCs w:val="32"/>
          <w:lang w:val="en-US" w:eastAsia="zh-CN"/>
        </w:rPr>
        <w:t>决策方面</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进一步强化项目决策管理，注重项目立项前期可行性研究的充分性，如项目预算在申报和预算批复过程中出现较大幅度调整，建议履行调整决策程序。科学合理设置绩效指标，各类指标值要与实际工作相结合，与该专项资金完成的任务量相匹配。结合多种来源经费的规律和特点，做好经费申请和执行的前瞻性工作，对于确因客观原因造成的经费结余情况，及时履行规范的预算调整程序，减少项目资金结余，提升财政资金使用效率。在预算执行过程中科学预判年度经费需求，合理准确编制项目预算，提高预算执行刚性约束。</w:t>
      </w:r>
    </w:p>
    <w:p>
      <w:pPr>
        <w:pStyle w:val="2"/>
        <w:ind w:firstLine="560"/>
        <w:rPr>
          <w:rFonts w:hint="eastAsia" w:ascii="楷体_GB2312" w:eastAsia="楷体_GB2312"/>
          <w:sz w:val="32"/>
          <w:szCs w:val="32"/>
          <w:lang w:val="en-US" w:eastAsia="zh-CN"/>
        </w:rPr>
      </w:pPr>
      <w:r>
        <w:rPr>
          <w:rFonts w:hint="eastAsia" w:ascii="楷体_GB2312" w:eastAsia="楷体_GB2312"/>
          <w:sz w:val="32"/>
          <w:szCs w:val="32"/>
        </w:rPr>
        <w:t>（二）</w:t>
      </w:r>
      <w:r>
        <w:rPr>
          <w:rFonts w:hint="eastAsia" w:ascii="楷体_GB2312" w:eastAsia="楷体_GB2312"/>
          <w:sz w:val="32"/>
          <w:szCs w:val="32"/>
          <w:lang w:val="en-US" w:eastAsia="zh-CN"/>
        </w:rPr>
        <w:t>管理方面</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加强项目的全过程管理。建立基层工会的资金监管机制和工作质量监管机制，加强业务监督监管，明确业务标准与要求。进一步完善项目实施方案，严格合同管理，建立对第三方服务商服务质量的监管机制，注重考核第三方服务商对合同约定服务内容的履约情况，注重验收资料意见签署的完整性，以保障委托服务资金投入及产出效果的匹配度。建立常态化监督管理机制，核查资金发放和使用情况，有效落实管理制度要求，规范资金管理，强化对财政资金支出的风险控制，严格按照完整规范的</w:t>
      </w:r>
      <w:r>
        <w:rPr>
          <w:rFonts w:hint="eastAsia" w:ascii="仿宋_GB2312" w:hAnsi="仿宋" w:eastAsia="仿宋_GB2312" w:cs="仿宋"/>
          <w:bCs/>
          <w:kern w:val="2"/>
          <w:sz w:val="32"/>
          <w:szCs w:val="32"/>
          <w:lang w:val="en-US" w:eastAsia="zh-Hans" w:bidi="ar-SA"/>
        </w:rPr>
        <w:t>资金支付审核程序进行资金支付，</w:t>
      </w:r>
      <w:r>
        <w:rPr>
          <w:rFonts w:hint="eastAsia" w:ascii="仿宋_GB2312" w:hAnsi="仿宋" w:eastAsia="仿宋_GB2312" w:cs="仿宋"/>
          <w:bCs/>
          <w:kern w:val="2"/>
          <w:sz w:val="32"/>
          <w:szCs w:val="32"/>
          <w:lang w:val="en-US" w:eastAsia="zh-CN" w:bidi="ar-SA"/>
        </w:rPr>
        <w:t>充分发挥资金使用效益。</w:t>
      </w:r>
    </w:p>
    <w:p>
      <w:pPr>
        <w:pStyle w:val="2"/>
        <w:ind w:firstLine="560"/>
        <w:rPr>
          <w:rFonts w:hint="eastAsia" w:ascii="仿宋_GB2312" w:hAnsi="仿宋" w:eastAsia="仿宋_GB2312" w:cs="仿宋"/>
          <w:bCs/>
          <w:kern w:val="2"/>
          <w:sz w:val="32"/>
          <w:szCs w:val="32"/>
          <w:lang w:val="en-US" w:eastAsia="zh-CN" w:bidi="ar-SA"/>
        </w:rPr>
      </w:pPr>
      <w:r>
        <w:rPr>
          <w:rFonts w:hint="eastAsia" w:ascii="楷体_GB2312" w:eastAsia="楷体_GB2312"/>
          <w:sz w:val="32"/>
          <w:szCs w:val="32"/>
        </w:rPr>
        <w:t>（</w:t>
      </w:r>
      <w:r>
        <w:rPr>
          <w:rFonts w:hint="eastAsia" w:ascii="楷体_GB2312" w:eastAsia="楷体_GB2312"/>
          <w:sz w:val="32"/>
          <w:szCs w:val="32"/>
          <w:lang w:eastAsia="zh-CN"/>
        </w:rPr>
        <w:t>三</w:t>
      </w:r>
      <w:r>
        <w:rPr>
          <w:rFonts w:hint="eastAsia" w:ascii="楷体_GB2312" w:eastAsia="楷体_GB2312"/>
          <w:sz w:val="32"/>
          <w:szCs w:val="32"/>
        </w:rPr>
        <w:t>）</w:t>
      </w:r>
      <w:r>
        <w:rPr>
          <w:rFonts w:hint="eastAsia" w:ascii="楷体_GB2312" w:eastAsia="楷体_GB2312"/>
          <w:sz w:val="32"/>
          <w:szCs w:val="32"/>
          <w:lang w:val="en-US" w:eastAsia="zh-CN"/>
        </w:rPr>
        <w:t>绩效方面</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进一步强化项目预算绩效管理理念，及时完整收集各种绩效成果资料，注重绩效资料梳理和数据统计分析，以保障财政补助资金投入服务效益的完整呈现。及时归集项目绩效资料，加强对相关数据和资料的汇总分析，重视绩效成果的总结和呈现，为全面呈现项目实施效果提供资料支撑。面向直接用户开展满意度调查，科学设计调查方案和调查问卷，及时进行满意度调查统计分析，为下一步项目管理优化提供参考。满意度调查方式可以多样化，多种途径进行基础数据的收集与整理，对不同受益群体开展不同形式的调查，全面呈现项目效果，充分反映项目绩效。</w:t>
      </w:r>
    </w:p>
    <w:tbl>
      <w:tblPr>
        <w:tblStyle w:val="7"/>
        <w:tblW w:w="5000" w:type="pct"/>
        <w:tblInd w:w="0" w:type="dxa"/>
        <w:tblLayout w:type="fixed"/>
        <w:tblCellMar>
          <w:top w:w="0" w:type="dxa"/>
          <w:left w:w="108" w:type="dxa"/>
          <w:bottom w:w="0" w:type="dxa"/>
          <w:right w:w="108" w:type="dxa"/>
        </w:tblCellMar>
      </w:tblPr>
      <w:tblGrid>
        <w:gridCol w:w="890"/>
        <w:gridCol w:w="845"/>
        <w:gridCol w:w="961"/>
        <w:gridCol w:w="1052"/>
        <w:gridCol w:w="879"/>
        <w:gridCol w:w="615"/>
        <w:gridCol w:w="859"/>
        <w:gridCol w:w="3852"/>
        <w:gridCol w:w="4221"/>
      </w:tblGrid>
      <w:tr>
        <w:tblPrEx>
          <w:tblCellMar>
            <w:top w:w="0" w:type="dxa"/>
            <w:left w:w="108" w:type="dxa"/>
            <w:bottom w:w="0" w:type="dxa"/>
            <w:right w:w="108" w:type="dxa"/>
          </w:tblCellMar>
        </w:tblPrEx>
        <w:trPr>
          <w:trHeight w:val="499" w:hRule="atLeast"/>
        </w:trPr>
        <w:tc>
          <w:tcPr>
            <w:tcW w:w="5000" w:type="pct"/>
            <w:gridSpan w:val="9"/>
            <w:tcBorders>
              <w:top w:val="nil"/>
              <w:left w:val="nil"/>
              <w:bottom w:val="single" w:color="auto" w:sz="4" w:space="0"/>
              <w:right w:val="nil"/>
            </w:tcBorders>
            <w:noWrap/>
            <w:vAlign w:val="bottom"/>
          </w:tcPr>
          <w:p>
            <w:pPr>
              <w:widowControl/>
              <w:jc w:val="center"/>
              <w:rPr>
                <w:rFonts w:hint="eastAsia" w:ascii="方正小标宋简体" w:hAnsi="黑体" w:eastAsia="方正小标宋简体" w:cs="宋体"/>
                <w:color w:val="000000"/>
                <w:kern w:val="0"/>
                <w:sz w:val="44"/>
                <w:szCs w:val="44"/>
                <w:lang w:eastAsia="zh-CN"/>
              </w:rPr>
            </w:pPr>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2</w:t>
            </w:r>
            <w:r>
              <w:rPr>
                <w:rFonts w:hint="eastAsia" w:ascii="方正小标宋简体" w:hAnsi="黑体" w:eastAsia="方正小标宋简体" w:cs="宋体"/>
                <w:color w:val="000000"/>
                <w:kern w:val="0"/>
                <w:sz w:val="44"/>
                <w:szCs w:val="44"/>
              </w:rPr>
              <w:t>年部门整体绩效评价指标体系评分表</w:t>
            </w:r>
          </w:p>
        </w:tc>
      </w:tr>
      <w:tr>
        <w:tblPrEx>
          <w:tblCellMar>
            <w:top w:w="0" w:type="dxa"/>
            <w:left w:w="108" w:type="dxa"/>
            <w:bottom w:w="0" w:type="dxa"/>
            <w:right w:w="108" w:type="dxa"/>
          </w:tblCellMar>
        </w:tblPrEx>
        <w:trPr>
          <w:trHeight w:val="470" w:hRule="atLeast"/>
        </w:trPr>
        <w:tc>
          <w:tcPr>
            <w:tcW w:w="5000" w:type="pct"/>
            <w:gridSpan w:val="9"/>
            <w:tcBorders>
              <w:top w:val="single" w:color="auto" w:sz="4" w:space="0"/>
              <w:left w:val="single" w:color="auto" w:sz="4" w:space="0"/>
              <w:bottom w:val="single" w:color="000000"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trHeight w:val="660" w:hRule="atLeast"/>
        </w:trPr>
        <w:tc>
          <w:tcPr>
            <w:tcW w:w="31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9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3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37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31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21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3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35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148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rPr>
          <w:trHeight w:val="630" w:hRule="atLeast"/>
        </w:trPr>
        <w:tc>
          <w:tcPr>
            <w:tcW w:w="313" w:type="pct"/>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29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33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24793.06</w:t>
            </w:r>
            <w:r>
              <w:rPr>
                <w:rFonts w:hint="eastAsia" w:ascii="宋体" w:hAnsi="宋体" w:cs="宋体"/>
                <w:color w:val="000000"/>
                <w:kern w:val="0"/>
                <w:sz w:val="20"/>
                <w:szCs w:val="20"/>
              </w:rPr>
              <w:t>　</w:t>
            </w:r>
          </w:p>
        </w:tc>
        <w:tc>
          <w:tcPr>
            <w:tcW w:w="37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21704.43</w:t>
            </w:r>
          </w:p>
        </w:tc>
        <w:tc>
          <w:tcPr>
            <w:tcW w:w="31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16"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303"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17.51</w:t>
            </w:r>
            <w:r>
              <w:rPr>
                <w:rFonts w:hint="eastAsia" w:ascii="宋体" w:hAnsi="宋体" w:cs="宋体"/>
                <w:color w:val="000000"/>
                <w:kern w:val="0"/>
                <w:sz w:val="20"/>
                <w:szCs w:val="20"/>
              </w:rPr>
              <w:t>　</w:t>
            </w:r>
          </w:p>
        </w:tc>
        <w:tc>
          <w:tcPr>
            <w:tcW w:w="135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488"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600" w:hRule="atLeast"/>
        </w:trPr>
        <w:tc>
          <w:tcPr>
            <w:tcW w:w="31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33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15303.15</w:t>
            </w:r>
            <w:r>
              <w:rPr>
                <w:rFonts w:hint="eastAsia" w:ascii="宋体" w:hAnsi="宋体" w:cs="宋体"/>
                <w:color w:val="000000"/>
                <w:kern w:val="0"/>
                <w:sz w:val="20"/>
                <w:szCs w:val="20"/>
              </w:rPr>
              <w:t>　</w:t>
            </w:r>
          </w:p>
        </w:tc>
        <w:tc>
          <w:tcPr>
            <w:tcW w:w="371"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15243.41</w:t>
            </w:r>
          </w:p>
        </w:tc>
        <w:tc>
          <w:tcPr>
            <w:tcW w:w="31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87.54%</w:t>
            </w:r>
          </w:p>
        </w:tc>
        <w:tc>
          <w:tcPr>
            <w:tcW w:w="21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35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8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15" w:hRule="atLeast"/>
        </w:trPr>
        <w:tc>
          <w:tcPr>
            <w:tcW w:w="31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33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9489.91</w:t>
            </w:r>
            <w:r>
              <w:rPr>
                <w:rFonts w:hint="eastAsia" w:ascii="宋体" w:hAnsi="宋体" w:cs="宋体"/>
                <w:color w:val="000000"/>
                <w:kern w:val="0"/>
                <w:sz w:val="20"/>
                <w:szCs w:val="20"/>
              </w:rPr>
              <w:t>　</w:t>
            </w:r>
          </w:p>
        </w:tc>
        <w:tc>
          <w:tcPr>
            <w:tcW w:w="371"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6461.02</w:t>
            </w: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1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35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8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136" w:hRule="atLeast"/>
        </w:trPr>
        <w:tc>
          <w:tcPr>
            <w:tcW w:w="31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33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71"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1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35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8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rPr>
          <w:trHeight w:val="569" w:hRule="atLeast"/>
        </w:trPr>
        <w:tc>
          <w:tcPr>
            <w:tcW w:w="5000" w:type="pct"/>
            <w:gridSpan w:val="9"/>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trHeight w:val="499" w:hRule="atLeast"/>
        </w:trPr>
        <w:tc>
          <w:tcPr>
            <w:tcW w:w="31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29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3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71"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31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21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303"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35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48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196" w:hRule="atLeast"/>
        </w:trPr>
        <w:tc>
          <w:tcPr>
            <w:tcW w:w="31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298" w:type="pct"/>
            <w:vMerge w:val="restart"/>
            <w:tcBorders>
              <w:top w:val="single" w:color="auto" w:sz="4" w:space="0"/>
              <w:left w:val="nil"/>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339" w:type="pct"/>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案件真实率</w:t>
            </w:r>
          </w:p>
        </w:tc>
        <w:tc>
          <w:tcPr>
            <w:tcW w:w="371"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100</w:t>
            </w:r>
          </w:p>
        </w:tc>
        <w:tc>
          <w:tcPr>
            <w:tcW w:w="310"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100</w:t>
            </w:r>
            <w:r>
              <w:rPr>
                <w:rFonts w:hint="eastAsia" w:ascii="宋体" w:hAnsi="宋体" w:cs="宋体"/>
                <w:color w:val="000000"/>
                <w:kern w:val="0"/>
                <w:sz w:val="20"/>
                <w:szCs w:val="20"/>
              </w:rPr>
              <w:t>　</w:t>
            </w:r>
          </w:p>
        </w:tc>
        <w:tc>
          <w:tcPr>
            <w:tcW w:w="216" w:type="pct"/>
            <w:vMerge w:val="restar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303" w:type="pct"/>
            <w:tcBorders>
              <w:top w:val="single" w:color="auto" w:sz="4" w:space="0"/>
              <w:left w:val="nil"/>
              <w:bottom w:val="single" w:color="auto" w:sz="4" w:space="0"/>
              <w:right w:val="nil"/>
            </w:tcBorders>
            <w:noWrap w:val="0"/>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　</w:t>
            </w:r>
          </w:p>
        </w:tc>
        <w:tc>
          <w:tcPr>
            <w:tcW w:w="135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48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1130" w:hRule="atLeast"/>
        </w:trPr>
        <w:tc>
          <w:tcPr>
            <w:tcW w:w="31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案件补贴</w:t>
            </w:r>
          </w:p>
        </w:tc>
        <w:tc>
          <w:tcPr>
            <w:tcW w:w="371"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2400</w:t>
            </w:r>
            <w:r>
              <w:rPr>
                <w:rFonts w:hint="eastAsia" w:ascii="宋体" w:hAnsi="宋体" w:cs="宋体"/>
                <w:color w:val="000000"/>
                <w:kern w:val="0"/>
                <w:sz w:val="20"/>
                <w:szCs w:val="20"/>
              </w:rPr>
              <w:t>　</w:t>
            </w:r>
          </w:p>
        </w:tc>
        <w:tc>
          <w:tcPr>
            <w:tcW w:w="31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2400</w:t>
            </w:r>
            <w:r>
              <w:rPr>
                <w:rFonts w:hint="eastAsia" w:ascii="宋体" w:hAnsi="宋体" w:cs="宋体"/>
                <w:color w:val="000000"/>
                <w:kern w:val="0"/>
                <w:sz w:val="20"/>
                <w:szCs w:val="20"/>
              </w:rPr>
              <w:t>　</w:t>
            </w:r>
          </w:p>
        </w:tc>
        <w:tc>
          <w:tcPr>
            <w:tcW w:w="216" w:type="pct"/>
            <w:vMerge w:val="continue"/>
            <w:tcBorders>
              <w:top w:val="single" w:color="auto" w:sz="4" w:space="0"/>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tcBorders>
              <w:top w:val="single" w:color="auto" w:sz="4" w:space="0"/>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135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8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rPr>
          <w:trHeight w:val="1258" w:hRule="atLeast"/>
        </w:trPr>
        <w:tc>
          <w:tcPr>
            <w:tcW w:w="31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创新工作室数量</w:t>
            </w:r>
          </w:p>
        </w:tc>
        <w:tc>
          <w:tcPr>
            <w:tcW w:w="371"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30</w:t>
            </w:r>
          </w:p>
        </w:tc>
        <w:tc>
          <w:tcPr>
            <w:tcW w:w="31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30</w:t>
            </w:r>
            <w:r>
              <w:rPr>
                <w:rFonts w:hint="eastAsia" w:ascii="宋体" w:hAnsi="宋体" w:cs="宋体"/>
                <w:color w:val="000000"/>
                <w:kern w:val="0"/>
                <w:sz w:val="20"/>
                <w:szCs w:val="20"/>
              </w:rPr>
              <w:t>　</w:t>
            </w:r>
          </w:p>
        </w:tc>
        <w:tc>
          <w:tcPr>
            <w:tcW w:w="216"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6</w:t>
            </w:r>
          </w:p>
        </w:tc>
        <w:tc>
          <w:tcPr>
            <w:tcW w:w="135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8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975" w:hRule="atLeast"/>
        </w:trPr>
        <w:tc>
          <w:tcPr>
            <w:tcW w:w="31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9"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生活补贴人数</w:t>
            </w:r>
          </w:p>
        </w:tc>
        <w:tc>
          <w:tcPr>
            <w:tcW w:w="371"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460</w:t>
            </w:r>
          </w:p>
        </w:tc>
        <w:tc>
          <w:tcPr>
            <w:tcW w:w="31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258</w:t>
            </w:r>
          </w:p>
        </w:tc>
        <w:tc>
          <w:tcPr>
            <w:tcW w:w="216"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tcBorders>
              <w:top w:val="nil"/>
              <w:left w:val="nil"/>
              <w:bottom w:val="single" w:color="auto" w:sz="4" w:space="0"/>
              <w:right w:val="nil"/>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135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8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975" w:hRule="atLeast"/>
        </w:trPr>
        <w:tc>
          <w:tcPr>
            <w:tcW w:w="31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9"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助学金人数</w:t>
            </w:r>
          </w:p>
        </w:tc>
        <w:tc>
          <w:tcPr>
            <w:tcW w:w="371"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200</w:t>
            </w:r>
          </w:p>
        </w:tc>
        <w:tc>
          <w:tcPr>
            <w:tcW w:w="31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93</w:t>
            </w:r>
          </w:p>
        </w:tc>
        <w:tc>
          <w:tcPr>
            <w:tcW w:w="216"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tcBorders>
              <w:top w:val="nil"/>
              <w:left w:val="nil"/>
              <w:bottom w:val="single" w:color="auto" w:sz="4" w:space="0"/>
              <w:right w:val="nil"/>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135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8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975" w:hRule="atLeast"/>
        </w:trPr>
        <w:tc>
          <w:tcPr>
            <w:tcW w:w="31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9"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劳模人数</w:t>
            </w:r>
          </w:p>
        </w:tc>
        <w:tc>
          <w:tcPr>
            <w:tcW w:w="371"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13150</w:t>
            </w:r>
          </w:p>
        </w:tc>
        <w:tc>
          <w:tcPr>
            <w:tcW w:w="31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11962</w:t>
            </w:r>
          </w:p>
        </w:tc>
        <w:tc>
          <w:tcPr>
            <w:tcW w:w="216"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tcBorders>
              <w:top w:val="nil"/>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135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8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rPr>
          <w:trHeight w:val="975" w:hRule="atLeast"/>
        </w:trPr>
        <w:tc>
          <w:tcPr>
            <w:tcW w:w="31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9"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生活困难补助人数</w:t>
            </w:r>
          </w:p>
        </w:tc>
        <w:tc>
          <w:tcPr>
            <w:tcW w:w="371"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620</w:t>
            </w:r>
          </w:p>
        </w:tc>
        <w:tc>
          <w:tcPr>
            <w:tcW w:w="31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479</w:t>
            </w:r>
          </w:p>
        </w:tc>
        <w:tc>
          <w:tcPr>
            <w:tcW w:w="216"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tcBorders>
              <w:top w:val="nil"/>
              <w:left w:val="nil"/>
              <w:bottom w:val="single" w:color="auto" w:sz="4" w:space="0"/>
              <w:right w:val="nil"/>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135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8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975" w:hRule="atLeast"/>
        </w:trPr>
        <w:tc>
          <w:tcPr>
            <w:tcW w:w="31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9"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特殊困难补助人数</w:t>
            </w:r>
          </w:p>
        </w:tc>
        <w:tc>
          <w:tcPr>
            <w:tcW w:w="371"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1250</w:t>
            </w:r>
          </w:p>
        </w:tc>
        <w:tc>
          <w:tcPr>
            <w:tcW w:w="31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285</w:t>
            </w:r>
          </w:p>
        </w:tc>
        <w:tc>
          <w:tcPr>
            <w:tcW w:w="216"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6</w:t>
            </w:r>
          </w:p>
        </w:tc>
        <w:tc>
          <w:tcPr>
            <w:tcW w:w="135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8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31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33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媒体宣传</w:t>
            </w:r>
          </w:p>
        </w:tc>
        <w:tc>
          <w:tcPr>
            <w:tcW w:w="371"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85</w:t>
            </w:r>
          </w:p>
        </w:tc>
        <w:tc>
          <w:tcPr>
            <w:tcW w:w="31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90</w:t>
            </w:r>
            <w:r>
              <w:rPr>
                <w:rFonts w:hint="eastAsia" w:ascii="宋体" w:hAnsi="宋体" w:cs="宋体"/>
                <w:color w:val="000000"/>
                <w:kern w:val="0"/>
                <w:sz w:val="20"/>
                <w:szCs w:val="20"/>
              </w:rPr>
              <w:t>　</w:t>
            </w:r>
          </w:p>
        </w:tc>
        <w:tc>
          <w:tcPr>
            <w:tcW w:w="216" w:type="pct"/>
            <w:vMerge w:val="restart"/>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303"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1358"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488"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630" w:hRule="atLeast"/>
        </w:trPr>
        <w:tc>
          <w:tcPr>
            <w:tcW w:w="31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职工满意度</w:t>
            </w:r>
          </w:p>
        </w:tc>
        <w:tc>
          <w:tcPr>
            <w:tcW w:w="371"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85</w:t>
            </w:r>
            <w:r>
              <w:rPr>
                <w:rFonts w:hint="eastAsia" w:ascii="宋体" w:hAnsi="宋体" w:cs="宋体"/>
                <w:color w:val="000000"/>
                <w:kern w:val="0"/>
                <w:sz w:val="20"/>
                <w:szCs w:val="20"/>
              </w:rPr>
              <w:t>　</w:t>
            </w:r>
          </w:p>
        </w:tc>
        <w:tc>
          <w:tcPr>
            <w:tcW w:w="31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92</w:t>
            </w:r>
          </w:p>
        </w:tc>
        <w:tc>
          <w:tcPr>
            <w:tcW w:w="21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　</w:t>
            </w:r>
          </w:p>
        </w:tc>
        <w:tc>
          <w:tcPr>
            <w:tcW w:w="135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8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rPr>
          <w:trHeight w:val="690" w:hRule="atLeast"/>
        </w:trPr>
        <w:tc>
          <w:tcPr>
            <w:tcW w:w="31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进一步规范市场行为</w:t>
            </w:r>
          </w:p>
        </w:tc>
        <w:tc>
          <w:tcPr>
            <w:tcW w:w="371"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良</w:t>
            </w:r>
            <w:r>
              <w:rPr>
                <w:rFonts w:hint="eastAsia" w:ascii="宋体" w:hAnsi="宋体" w:cs="宋体"/>
                <w:color w:val="000000"/>
                <w:kern w:val="0"/>
                <w:sz w:val="20"/>
                <w:szCs w:val="20"/>
              </w:rPr>
              <w:t>　</w:t>
            </w:r>
          </w:p>
        </w:tc>
        <w:tc>
          <w:tcPr>
            <w:tcW w:w="31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良</w:t>
            </w:r>
            <w:r>
              <w:rPr>
                <w:rFonts w:hint="eastAsia" w:ascii="宋体" w:hAnsi="宋体" w:cs="宋体"/>
                <w:color w:val="000000"/>
                <w:kern w:val="0"/>
                <w:sz w:val="20"/>
                <w:szCs w:val="20"/>
              </w:rPr>
              <w:t>　</w:t>
            </w:r>
          </w:p>
        </w:tc>
        <w:tc>
          <w:tcPr>
            <w:tcW w:w="21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　</w:t>
            </w:r>
          </w:p>
        </w:tc>
        <w:tc>
          <w:tcPr>
            <w:tcW w:w="135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8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31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9"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完成中轴线申遗任务</w:t>
            </w:r>
          </w:p>
        </w:tc>
        <w:tc>
          <w:tcPr>
            <w:tcW w:w="371"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良</w:t>
            </w:r>
          </w:p>
        </w:tc>
        <w:tc>
          <w:tcPr>
            <w:tcW w:w="31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良</w:t>
            </w:r>
          </w:p>
        </w:tc>
        <w:tc>
          <w:tcPr>
            <w:tcW w:w="21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tcBorders>
              <w:top w:val="nil"/>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135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8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31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9"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可持续影响指标</w:t>
            </w:r>
          </w:p>
        </w:tc>
        <w:tc>
          <w:tcPr>
            <w:tcW w:w="371"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eastAsia="zh-CN"/>
              </w:rPr>
              <w:t>良</w:t>
            </w:r>
          </w:p>
        </w:tc>
        <w:tc>
          <w:tcPr>
            <w:tcW w:w="31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良</w:t>
            </w:r>
            <w:r>
              <w:rPr>
                <w:rFonts w:hint="eastAsia" w:ascii="宋体" w:hAnsi="宋体" w:cs="宋体"/>
                <w:color w:val="000000"/>
                <w:kern w:val="0"/>
                <w:sz w:val="20"/>
                <w:szCs w:val="20"/>
              </w:rPr>
              <w:t>　</w:t>
            </w:r>
          </w:p>
        </w:tc>
        <w:tc>
          <w:tcPr>
            <w:tcW w:w="21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03" w:type="pct"/>
            <w:tcBorders>
              <w:top w:val="nil"/>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135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8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9" w:hRule="atLeast"/>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rPr>
          <w:trHeight w:val="702" w:hRule="atLeast"/>
        </w:trPr>
        <w:tc>
          <w:tcPr>
            <w:tcW w:w="31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29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33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371"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31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216"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303"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135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48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230" w:hRule="atLeast"/>
        </w:trPr>
        <w:tc>
          <w:tcPr>
            <w:tcW w:w="31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29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33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371"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完整、合规</w:t>
            </w:r>
            <w:r>
              <w:rPr>
                <w:rFonts w:hint="eastAsia" w:ascii="宋体" w:hAnsi="宋体" w:cs="宋体"/>
                <w:color w:val="000000"/>
                <w:kern w:val="0"/>
                <w:sz w:val="20"/>
                <w:szCs w:val="20"/>
              </w:rPr>
              <w:t>　</w:t>
            </w:r>
          </w:p>
        </w:tc>
        <w:tc>
          <w:tcPr>
            <w:tcW w:w="31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完整、合规</w:t>
            </w:r>
            <w:r>
              <w:rPr>
                <w:rFonts w:hint="eastAsia" w:ascii="宋体" w:hAnsi="宋体" w:cs="宋体"/>
                <w:color w:val="000000"/>
                <w:kern w:val="0"/>
                <w:sz w:val="20"/>
                <w:szCs w:val="20"/>
              </w:rPr>
              <w:t>　</w:t>
            </w:r>
          </w:p>
        </w:tc>
        <w:tc>
          <w:tcPr>
            <w:tcW w:w="216"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303"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1358"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48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2220" w:hRule="atLeast"/>
        </w:trPr>
        <w:tc>
          <w:tcPr>
            <w:tcW w:w="313"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371"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合规性和安全性　</w:t>
            </w:r>
          </w:p>
        </w:tc>
        <w:tc>
          <w:tcPr>
            <w:tcW w:w="31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合规、安全</w:t>
            </w:r>
            <w:r>
              <w:rPr>
                <w:rFonts w:hint="eastAsia" w:ascii="宋体" w:hAnsi="宋体" w:cs="宋体"/>
                <w:color w:val="000000"/>
                <w:kern w:val="0"/>
                <w:sz w:val="20"/>
                <w:szCs w:val="20"/>
              </w:rPr>
              <w:t>　</w:t>
            </w:r>
          </w:p>
        </w:tc>
        <w:tc>
          <w:tcPr>
            <w:tcW w:w="216"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303"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1358"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48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1035" w:hRule="atLeast"/>
        </w:trPr>
        <w:tc>
          <w:tcPr>
            <w:tcW w:w="31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371"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完整、准确</w:t>
            </w:r>
            <w:r>
              <w:rPr>
                <w:rFonts w:hint="eastAsia" w:ascii="宋体" w:hAnsi="宋体" w:cs="宋体"/>
                <w:color w:val="000000"/>
                <w:kern w:val="0"/>
                <w:sz w:val="20"/>
                <w:szCs w:val="20"/>
              </w:rPr>
              <w:t>　</w:t>
            </w:r>
          </w:p>
        </w:tc>
        <w:tc>
          <w:tcPr>
            <w:tcW w:w="31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完整、准确</w:t>
            </w:r>
            <w:r>
              <w:rPr>
                <w:rFonts w:hint="eastAsia" w:ascii="宋体" w:hAnsi="宋体" w:cs="宋体"/>
                <w:color w:val="000000"/>
                <w:kern w:val="0"/>
                <w:sz w:val="20"/>
                <w:szCs w:val="20"/>
              </w:rPr>
              <w:t>　</w:t>
            </w:r>
          </w:p>
        </w:tc>
        <w:tc>
          <w:tcPr>
            <w:tcW w:w="216" w:type="pct"/>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303"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1358"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488"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rPr>
          <w:trHeight w:val="2220" w:hRule="atLeast"/>
        </w:trPr>
        <w:tc>
          <w:tcPr>
            <w:tcW w:w="31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33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371"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规范合理</w:t>
            </w:r>
          </w:p>
        </w:tc>
        <w:tc>
          <w:tcPr>
            <w:tcW w:w="31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lang w:eastAsia="zh-CN"/>
              </w:rPr>
              <w:t>规范合理</w:t>
            </w:r>
          </w:p>
        </w:tc>
        <w:tc>
          <w:tcPr>
            <w:tcW w:w="21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3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1358"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488"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1750" w:hRule="atLeast"/>
        </w:trPr>
        <w:tc>
          <w:tcPr>
            <w:tcW w:w="31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33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371" w:type="pct"/>
            <w:tcBorders>
              <w:top w:val="single" w:color="auto" w:sz="4" w:space="0"/>
              <w:left w:val="nil"/>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90%</w:t>
            </w:r>
          </w:p>
        </w:tc>
        <w:tc>
          <w:tcPr>
            <w:tcW w:w="310" w:type="pct"/>
            <w:tcBorders>
              <w:top w:val="single" w:color="auto" w:sz="4" w:space="0"/>
              <w:left w:val="nil"/>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95%</w:t>
            </w:r>
          </w:p>
        </w:tc>
        <w:tc>
          <w:tcPr>
            <w:tcW w:w="21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303"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　</w:t>
            </w:r>
          </w:p>
        </w:tc>
        <w:tc>
          <w:tcPr>
            <w:tcW w:w="1358"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48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394" w:hRule="atLeast"/>
        </w:trPr>
        <w:tc>
          <w:tcPr>
            <w:tcW w:w="31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710"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r>
              <w:rPr>
                <w:rFonts w:hint="eastAsia" w:ascii="宋体" w:hAnsi="宋体" w:cs="宋体"/>
                <w:color w:val="000000"/>
                <w:kern w:val="0"/>
                <w:sz w:val="20"/>
                <w:szCs w:val="20"/>
                <w:lang w:val="en-US" w:eastAsia="zh-CN"/>
              </w:rPr>
              <w:t>21</w:t>
            </w:r>
            <w:r>
              <w:rPr>
                <w:rFonts w:hint="eastAsia" w:ascii="宋体" w:hAnsi="宋体" w:cs="宋体"/>
                <w:color w:val="000000"/>
                <w:kern w:val="0"/>
                <w:sz w:val="20"/>
                <w:szCs w:val="20"/>
              </w:rPr>
              <w:t>年</w:t>
            </w:r>
          </w:p>
        </w:tc>
        <w:tc>
          <w:tcPr>
            <w:tcW w:w="31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年</w:t>
            </w:r>
          </w:p>
        </w:tc>
        <w:tc>
          <w:tcPr>
            <w:tcW w:w="21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30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35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488" w:type="pct"/>
            <w:tcBorders>
              <w:top w:val="single" w:color="auto" w:sz="4" w:space="0"/>
              <w:left w:val="nil"/>
              <w:bottom w:val="single" w:color="auto" w:sz="4" w:space="0"/>
              <w:right w:val="single" w:color="auto" w:sz="4" w:space="0"/>
            </w:tcBorders>
            <w:noWrap w:val="0"/>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365" w:hRule="atLeast"/>
        </w:trPr>
        <w:tc>
          <w:tcPr>
            <w:tcW w:w="31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tcBorders>
              <w:top w:val="nil"/>
              <w:left w:val="nil"/>
              <w:bottom w:val="single" w:color="auto" w:sz="4" w:space="0"/>
              <w:right w:val="single" w:color="auto" w:sz="4" w:space="0"/>
            </w:tcBorders>
            <w:noWrap w:val="0"/>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710"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5.19%</w:t>
            </w:r>
          </w:p>
        </w:tc>
        <w:tc>
          <w:tcPr>
            <w:tcW w:w="31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12..46%</w:t>
            </w:r>
            <w:r>
              <w:rPr>
                <w:rFonts w:hint="eastAsia" w:ascii="宋体" w:hAnsi="宋体" w:cs="宋体"/>
                <w:color w:val="000000"/>
                <w:kern w:val="0"/>
                <w:sz w:val="20"/>
                <w:szCs w:val="20"/>
              </w:rPr>
              <w:t>　</w:t>
            </w:r>
          </w:p>
        </w:tc>
        <w:tc>
          <w:tcPr>
            <w:tcW w:w="21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303"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1.2</w:t>
            </w:r>
            <w:r>
              <w:rPr>
                <w:rFonts w:hint="eastAsia" w:ascii="宋体" w:hAnsi="宋体" w:cs="宋体"/>
                <w:color w:val="000000"/>
                <w:kern w:val="0"/>
                <w:sz w:val="20"/>
                <w:szCs w:val="20"/>
              </w:rPr>
              <w:t>　</w:t>
            </w:r>
          </w:p>
        </w:tc>
        <w:tc>
          <w:tcPr>
            <w:tcW w:w="1358"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48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rPr>
          <w:trHeight w:val="90" w:hRule="atLeast"/>
        </w:trPr>
        <w:tc>
          <w:tcPr>
            <w:tcW w:w="31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298"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710" w:type="pct"/>
            <w:gridSpan w:val="2"/>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10" w:type="pct"/>
            <w:tcBorders>
              <w:top w:val="nil"/>
              <w:left w:val="single" w:color="auto" w:sz="4" w:space="0"/>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23.55%</w:t>
            </w:r>
          </w:p>
        </w:tc>
        <w:tc>
          <w:tcPr>
            <w:tcW w:w="21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303" w:type="pct"/>
            <w:tcBorders>
              <w:top w:val="nil"/>
              <w:left w:val="nil"/>
              <w:bottom w:val="single" w:color="auto" w:sz="4" w:space="0"/>
              <w:right w:val="nil"/>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4</w:t>
            </w:r>
          </w:p>
        </w:tc>
        <w:tc>
          <w:tcPr>
            <w:tcW w:w="1358"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488"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trHeight w:val="404" w:hRule="atLeast"/>
        </w:trPr>
        <w:tc>
          <w:tcPr>
            <w:tcW w:w="1632" w:type="pct"/>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c>
          <w:tcPr>
            <w:tcW w:w="21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303"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89.71</w:t>
            </w:r>
            <w:r>
              <w:rPr>
                <w:rFonts w:hint="eastAsia" w:ascii="宋体" w:hAnsi="宋体" w:cs="宋体"/>
                <w:color w:val="000000"/>
                <w:kern w:val="0"/>
                <w:sz w:val="20"/>
                <w:szCs w:val="20"/>
              </w:rPr>
              <w:t>　</w:t>
            </w:r>
          </w:p>
        </w:tc>
        <w:tc>
          <w:tcPr>
            <w:tcW w:w="2847" w:type="pct"/>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pPr>
        <w:bidi w:val="0"/>
        <w:ind w:firstLine="586" w:firstLineChars="0"/>
        <w:jc w:val="left"/>
        <w:rPr>
          <w:rFonts w:hint="eastAsia"/>
          <w:lang w:val="en-US" w:eastAsia="zh-CN"/>
        </w:rPr>
      </w:pPr>
      <w:bookmarkStart w:id="2" w:name="_GoBack"/>
      <w:bookmarkEnd w:id="2"/>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Verdana">
    <w:altName w:val="DejaVu Sans"/>
    <w:panose1 w:val="020B0604030504040204"/>
    <w:charset w:val="00"/>
    <w:family w:val="swiss"/>
    <w:pitch w:val="default"/>
    <w:sig w:usb0="00000000" w:usb1="00000000" w:usb2="00000010" w:usb3="00000000" w:csb0="0000019F" w:csb1="00000000"/>
  </w:font>
  <w:font w:name="仿宋_GB2312">
    <w:altName w:val="方正仿宋_GBK"/>
    <w:panose1 w:val="02010609030101010101"/>
    <w:charset w:val="00"/>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00"/>
    <w:family w:val="modern"/>
    <w:pitch w:val="default"/>
    <w:sig w:usb0="00000000" w:usb1="00000000" w:usb2="00000016" w:usb3="00000000" w:csb0="00040001" w:csb1="00000000"/>
  </w:font>
  <w:font w:name="楷体_GB2312">
    <w:altName w:val="方正楷体_GBK"/>
    <w:panose1 w:val="02010609030101010101"/>
    <w:charset w:val="00"/>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FFB472"/>
    <w:multiLevelType w:val="singleLevel"/>
    <w:tmpl w:val="D7FFB472"/>
    <w:lvl w:ilvl="0" w:tentative="0">
      <w:start w:val="1"/>
      <w:numFmt w:val="chineseCounting"/>
      <w:suff w:val="nothing"/>
      <w:lvlText w:val="%1、"/>
      <w:lvlJc w:val="left"/>
      <w:rPr>
        <w:rFonts w:hint="eastAsia"/>
      </w:rPr>
    </w:lvl>
  </w:abstractNum>
  <w:abstractNum w:abstractNumId="1">
    <w:nsid w:val="6DB573FD"/>
    <w:multiLevelType w:val="singleLevel"/>
    <w:tmpl w:val="6DB573FD"/>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DF9277"/>
    <w:rsid w:val="111E0337"/>
    <w:rsid w:val="1BEBB4FB"/>
    <w:rsid w:val="1D7A10D1"/>
    <w:rsid w:val="1DDF388F"/>
    <w:rsid w:val="37F78286"/>
    <w:rsid w:val="4BFF9BA7"/>
    <w:rsid w:val="57FA0E78"/>
    <w:rsid w:val="5F4C6F70"/>
    <w:rsid w:val="5F67F970"/>
    <w:rsid w:val="6E5FF279"/>
    <w:rsid w:val="7769DA45"/>
    <w:rsid w:val="777BBF77"/>
    <w:rsid w:val="7BA944AA"/>
    <w:rsid w:val="7D7F9A28"/>
    <w:rsid w:val="7FDF9277"/>
    <w:rsid w:val="7FF71414"/>
    <w:rsid w:val="7FFF8FDE"/>
    <w:rsid w:val="ABF9D19E"/>
    <w:rsid w:val="BE7CCAB2"/>
    <w:rsid w:val="CFFAE9DC"/>
    <w:rsid w:val="DAF50649"/>
    <w:rsid w:val="DFBF8DA6"/>
    <w:rsid w:val="E7DCB6C8"/>
    <w:rsid w:val="EF3B359D"/>
    <w:rsid w:val="F5DFC038"/>
    <w:rsid w:val="F7ECE5AF"/>
    <w:rsid w:val="FBA76859"/>
    <w:rsid w:val="FF582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Body Text"/>
    <w:basedOn w:val="1"/>
    <w:unhideWhenUsed/>
    <w:qFormat/>
    <w:uiPriority w:val="99"/>
    <w:pPr>
      <w:spacing w:after="120"/>
    </w:pPr>
    <w:rPr>
      <w:rFonts w:ascii="Calibri" w:hAnsi="Calibri"/>
      <w:szCs w:val="22"/>
    </w:rPr>
  </w:style>
  <w:style w:type="paragraph" w:styleId="4">
    <w:name w:val="Body Text Indent 2"/>
    <w:basedOn w:val="1"/>
    <w:qFormat/>
    <w:uiPriority w:val="0"/>
    <w:pPr>
      <w:spacing w:after="120" w:line="480" w:lineRule="auto"/>
      <w:ind w:left="420" w:leftChars="200"/>
    </w:pPr>
  </w:style>
  <w:style w:type="paragraph" w:styleId="5">
    <w:name w:val="footer"/>
    <w:basedOn w:val="1"/>
    <w:qFormat/>
    <w:uiPriority w:val="99"/>
    <w:pPr>
      <w:tabs>
        <w:tab w:val="center" w:pos="4153"/>
        <w:tab w:val="right" w:pos="8306"/>
      </w:tabs>
      <w:snapToGrid w:val="0"/>
      <w:jc w:val="left"/>
    </w:pPr>
    <w:rPr>
      <w:sz w:val="18"/>
    </w:rPr>
  </w:style>
  <w:style w:type="paragraph" w:styleId="6">
    <w:name w:val="Body Text First Indent"/>
    <w:basedOn w:val="3"/>
    <w:qFormat/>
    <w:uiPriority w:val="0"/>
    <w:pPr>
      <w:ind w:firstLine="420" w:firstLineChars="100"/>
    </w:pPr>
  </w:style>
  <w:style w:type="character" w:customStyle="1" w:styleId="9">
    <w:name w:val="font11"/>
    <w:qFormat/>
    <w:uiPriority w:val="0"/>
    <w:rPr>
      <w:rFonts w:hint="eastAsia" w:ascii="宋体" w:hAnsi="宋体" w:eastAsia="宋体" w:cs="宋体"/>
      <w:color w:val="000000"/>
      <w:sz w:val="20"/>
      <w:szCs w:val="20"/>
      <w:u w:val="none"/>
    </w:rPr>
  </w:style>
  <w:style w:type="character" w:customStyle="1" w:styleId="10">
    <w:name w:val="font21"/>
    <w:qFormat/>
    <w:uiPriority w:val="0"/>
    <w:rPr>
      <w:rFonts w:hint="default" w:ascii="Times New Roman" w:hAnsi="Times New Roman" w:cs="Times New Roman"/>
      <w:color w:val="000000"/>
      <w:sz w:val="20"/>
      <w:szCs w:val="20"/>
      <w:u w:val="none"/>
    </w:rPr>
  </w:style>
  <w:style w:type="paragraph" w:customStyle="1" w:styleId="11">
    <w:name w:val="表格"/>
    <w:basedOn w:val="1"/>
    <w:qFormat/>
    <w:uiPriority w:val="0"/>
    <w:pPr>
      <w:spacing w:line="240" w:lineRule="auto"/>
      <w:ind w:firstLine="0" w:firstLineChars="0"/>
      <w:jc w:val="center"/>
    </w:pPr>
    <w:rPr>
      <w:rFonts w:ascii="Verdana" w:hAnsi="Verdana" w:eastAsia="仿宋_GB2312"/>
      <w:sz w:val="24"/>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2022-08-26T03:11:00Z</dcterms:created>
  <dc:creator>uos</dc:creator>
  <cp:lastModifiedBy>huyan</cp:lastModifiedBy>
  <dcterms:modified xsi:type="dcterms:W3CDTF">2023-08-15T10:24:26Z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