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Times New Roman" w:eastAsia="方正小标宋简体" w:cs="Droid Sans"/>
          <w:color w:val="000000"/>
          <w:sz w:val="36"/>
          <w:szCs w:val="36"/>
        </w:rPr>
      </w:pPr>
      <w:r>
        <w:rPr>
          <w:rFonts w:hint="eastAsia" w:ascii="方正小标宋简体" w:hAnsi="Times New Roman" w:eastAsia="方正小标宋简体" w:cs="Droid Sans"/>
          <w:color w:val="000000"/>
          <w:sz w:val="36"/>
          <w:szCs w:val="36"/>
        </w:rPr>
        <w:t>北京职工体育服务中心2023年财政预算信息公开</w:t>
      </w:r>
    </w:p>
    <w:p>
      <w:pPr>
        <w:spacing w:line="240" w:lineRule="exact"/>
        <w:jc w:val="center"/>
        <w:rPr>
          <w:rFonts w:hint="eastAsia" w:ascii="方正小标宋简体" w:hAnsi="Times New Roman" w:eastAsia="方正小标宋简体" w:cs="Droid Sans"/>
          <w:color w:val="000000"/>
          <w:sz w:val="32"/>
          <w:szCs w:val="32"/>
        </w:rPr>
      </w:pPr>
    </w:p>
    <w:p>
      <w:pPr>
        <w:spacing w:line="560" w:lineRule="exact"/>
        <w:jc w:val="center"/>
        <w:rPr>
          <w:rFonts w:hint="eastAsia" w:ascii="方正小标宋简体" w:hAnsi="Times New Roman" w:eastAsia="方正小标宋简体" w:cs="Droid Sans"/>
          <w:color w:val="000000"/>
          <w:sz w:val="32"/>
          <w:szCs w:val="32"/>
        </w:rPr>
      </w:pPr>
      <w:r>
        <w:rPr>
          <w:rFonts w:hint="eastAsia" w:ascii="方正小标宋简体" w:hAnsi="Times New Roman" w:eastAsia="方正小标宋简体" w:cs="Droid Sans"/>
          <w:color w:val="000000"/>
          <w:sz w:val="32"/>
          <w:szCs w:val="32"/>
        </w:rPr>
        <w:t>目   录</w:t>
      </w:r>
    </w:p>
    <w:p>
      <w:pPr>
        <w:spacing w:line="240" w:lineRule="exact"/>
        <w:jc w:val="center"/>
        <w:rPr>
          <w:rFonts w:hint="eastAsia" w:ascii="方正小标宋简体" w:hAnsi="Times New Roman" w:eastAsia="方正小标宋简体" w:cs="Droid Sans"/>
          <w:color w:val="000000"/>
          <w:sz w:val="32"/>
          <w:szCs w:val="32"/>
        </w:rPr>
      </w:pPr>
    </w:p>
    <w:p>
      <w:pPr>
        <w:spacing w:line="560" w:lineRule="exact"/>
        <w:rPr>
          <w:rFonts w:hint="eastAsia"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560" w:lineRule="exact"/>
        <w:ind w:firstLine="640" w:firstLineChars="200"/>
        <w:rPr>
          <w:rFonts w:hint="eastAsia"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hint="eastAsia"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hint="eastAsia"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pPr>
        <w:spacing w:line="560" w:lineRule="exact"/>
        <w:jc w:val="center"/>
        <w:rPr>
          <w:rFonts w:hint="eastAsia" w:ascii="方正小标宋简体" w:hAnsi="Times New Roman" w:eastAsia="方正小标宋简体" w:cs="Droid Sans"/>
          <w:color w:val="000000"/>
          <w:sz w:val="32"/>
          <w:szCs w:val="32"/>
        </w:rPr>
      </w:pPr>
      <w:r>
        <w:rPr>
          <w:rFonts w:hint="eastAsia" w:ascii="方正小标宋简体" w:hAnsi="Times New Roman" w:eastAsia="方正小标宋简体" w:cs="Droid Sans"/>
          <w:color w:val="000000"/>
          <w:sz w:val="36"/>
          <w:szCs w:val="36"/>
        </w:rPr>
        <w:t>第一部分  2023年度单位预算情况说明</w:t>
      </w:r>
    </w:p>
    <w:p>
      <w:pPr>
        <w:spacing w:line="560" w:lineRule="exact"/>
        <w:ind w:firstLine="640" w:firstLineChars="200"/>
        <w:rPr>
          <w:rFonts w:hint="eastAsia" w:ascii="黑体" w:hAnsi="Times New Roman" w:eastAsia="黑体" w:cs="Droid Sans"/>
          <w:color w:val="000000"/>
          <w:sz w:val="32"/>
          <w:szCs w:val="32"/>
        </w:rPr>
      </w:pPr>
      <w:r>
        <w:rPr>
          <w:rFonts w:hint="eastAsia" w:ascii="黑体" w:hAnsi="Times New Roman" w:eastAsia="黑体" w:cs="Droid Sans"/>
          <w:color w:val="000000"/>
          <w:sz w:val="32"/>
          <w:szCs w:val="32"/>
        </w:rPr>
        <w:t>一、单位情况说明</w:t>
      </w:r>
    </w:p>
    <w:p>
      <w:pPr>
        <w:spacing w:line="560" w:lineRule="exact"/>
        <w:ind w:firstLine="640" w:firstLineChars="200"/>
        <w:rPr>
          <w:rFonts w:ascii="楷体_GB2312" w:hAnsi="Times New Roman" w:eastAsia="楷体_GB2312" w:cs="Droid Sans"/>
          <w:color w:val="000000"/>
          <w:sz w:val="32"/>
          <w:szCs w:val="32"/>
        </w:rPr>
      </w:pPr>
      <w:r>
        <w:rPr>
          <w:rFonts w:hint="eastAsia" w:ascii="楷体_GB2312" w:hAnsi="Times New Roman" w:eastAsia="楷体_GB2312" w:cs="Droid Sans"/>
          <w:color w:val="000000"/>
          <w:sz w:val="32"/>
          <w:szCs w:val="32"/>
        </w:rPr>
        <w:t>（一）本单位性质、职责等情况</w:t>
      </w:r>
    </w:p>
    <w:p>
      <w:pPr>
        <w:spacing w:line="560" w:lineRule="exact"/>
        <w:ind w:firstLine="640" w:firstLineChars="200"/>
        <w:rPr>
          <w:rFonts w:hint="eastAsia" w:ascii="仿宋_GB2312" w:hAnsi="Times New Roman" w:eastAsia="仿宋_GB2312" w:cs="Droid Sans"/>
          <w:sz w:val="32"/>
          <w:szCs w:val="32"/>
        </w:rPr>
      </w:pPr>
      <w:r>
        <w:rPr>
          <w:rFonts w:hint="eastAsia" w:ascii="仿宋_GB2312" w:hAnsi="Times New Roman" w:eastAsia="仿宋_GB2312" w:cs="Droid Sans"/>
          <w:sz w:val="32"/>
          <w:szCs w:val="32"/>
        </w:rPr>
        <w:t>北京职工体育服务中心是1959年成立的公益二类事业单位，隶属于北京市总工会，拥有事业单位法人证书，属事业法人单位，在国家税务局办有税务登记。中心所辖资产均属工会资产。业务范围：训练场地提供与管理；体育训练后勤保障；田径、游泳、足球教练员培训；田径、游泳、足球运动员培训；相关管理人员培训；相关产业经营；技术服务、技术交流。</w:t>
      </w:r>
    </w:p>
    <w:p>
      <w:pPr>
        <w:spacing w:line="560" w:lineRule="exact"/>
        <w:ind w:firstLine="640" w:firstLineChars="200"/>
        <w:rPr>
          <w:rFonts w:ascii="楷体_GB2312" w:hAnsi="Times New Roman" w:eastAsia="楷体_GB2312" w:cs="Droid Sans"/>
          <w:color w:val="000000"/>
          <w:sz w:val="32"/>
          <w:szCs w:val="32"/>
        </w:rPr>
      </w:pPr>
      <w:r>
        <w:rPr>
          <w:rFonts w:hint="eastAsia" w:ascii="楷体_GB2312" w:hAnsi="Times New Roman" w:eastAsia="楷体_GB2312" w:cs="Droid Sans"/>
          <w:color w:val="000000"/>
          <w:sz w:val="32"/>
          <w:szCs w:val="32"/>
        </w:rPr>
        <w:t>（二）机构设置情况</w:t>
      </w:r>
    </w:p>
    <w:p>
      <w:pPr>
        <w:spacing w:line="240" w:lineRule="auto"/>
        <w:ind w:firstLine="555" w:firstLineChars="0"/>
        <w:rPr>
          <w:rFonts w:hint="eastAsia" w:ascii="仿宋_GB2312" w:hAnsi="Times New Roman" w:eastAsia="仿宋_GB2312" w:cs="Droid Sans"/>
          <w:sz w:val="32"/>
          <w:szCs w:val="32"/>
        </w:rPr>
      </w:pPr>
      <w:r>
        <w:rPr>
          <w:rFonts w:hint="eastAsia" w:ascii="仿宋_GB2312" w:hAnsi="Times New Roman" w:eastAsia="仿宋_GB2312" w:cs="Droid Sans"/>
          <w:sz w:val="32"/>
          <w:szCs w:val="32"/>
        </w:rPr>
        <w:t>北京职工体育服务中心下设25个部门，分别为办公室、党委办公室、工会办公室、纪检监察部、人力资源部、财务管理部、审计部、法律部、招标办公室、信息中心、设备工程部、安全保卫部、行政后勤部、离退休工作部、职工体育发展部、体育场(工体足球城)、体育馆、乒羽中心、工体博物馆、体育文创中心、首都职工运动健康管理中心、商服中心、文化活动部、光彩经营管理部、停车管理部。</w:t>
      </w:r>
    </w:p>
    <w:p>
      <w:pPr>
        <w:spacing w:line="560" w:lineRule="exact"/>
        <w:ind w:firstLine="640" w:firstLineChars="200"/>
        <w:rPr>
          <w:rFonts w:hint="eastAsia" w:ascii="楷体_GB2312" w:hAnsi="Times New Roman" w:eastAsia="楷体_GB2312" w:cs="Droid Sans"/>
          <w:color w:val="000000"/>
          <w:sz w:val="32"/>
          <w:szCs w:val="32"/>
        </w:rPr>
      </w:pPr>
      <w:r>
        <w:rPr>
          <w:rFonts w:hint="eastAsia" w:ascii="楷体_GB2312" w:hAnsi="Times New Roman" w:eastAsia="楷体_GB2312" w:cs="Droid Sans"/>
          <w:color w:val="000000"/>
          <w:sz w:val="32"/>
          <w:szCs w:val="32"/>
        </w:rPr>
        <w:t>（三）人员编制及实有情况</w:t>
      </w:r>
    </w:p>
    <w:p>
      <w:pPr>
        <w:spacing w:line="560" w:lineRule="exact"/>
        <w:ind w:firstLine="640" w:firstLineChars="200"/>
        <w:rPr>
          <w:rFonts w:hint="eastAsia" w:ascii="仿宋_GB2312" w:hAnsi="Times New Roman" w:eastAsia="仿宋_GB2312" w:cs="Droid Sans"/>
          <w:color w:val="000000"/>
          <w:sz w:val="32"/>
          <w:szCs w:val="32"/>
        </w:rPr>
      </w:pPr>
      <w:r>
        <w:rPr>
          <w:rFonts w:hint="eastAsia" w:ascii="仿宋_GB2312" w:hAnsi="Times New Roman" w:eastAsia="仿宋_GB2312" w:cs="Droid Sans"/>
          <w:sz w:val="32"/>
          <w:szCs w:val="32"/>
        </w:rPr>
        <w:t>北京职工体育服务中心</w:t>
      </w:r>
      <w:r>
        <w:rPr>
          <w:rFonts w:hint="eastAsia" w:ascii="仿宋_GB2312" w:hAnsi="Times New Roman" w:eastAsia="仿宋_GB2312" w:cs="Droid Sans"/>
          <w:sz w:val="32"/>
          <w:szCs w:val="32"/>
          <w:lang w:eastAsia="zh-CN"/>
        </w:rPr>
        <w:t>财政保障</w:t>
      </w:r>
      <w:r>
        <w:rPr>
          <w:rFonts w:hint="eastAsia" w:ascii="仿宋_GB2312" w:hAnsi="Times New Roman" w:eastAsia="仿宋_GB2312" w:cs="Droid Sans"/>
          <w:sz w:val="32"/>
          <w:szCs w:val="32"/>
        </w:rPr>
        <w:t>离退休人员742人，其中：离休4人，退休738人。</w:t>
      </w:r>
    </w:p>
    <w:p>
      <w:pPr>
        <w:spacing w:line="560" w:lineRule="exact"/>
        <w:ind w:firstLine="640" w:firstLineChars="200"/>
        <w:rPr>
          <w:rFonts w:hint="eastAsia" w:ascii="黑体" w:hAnsi="Times New Roman" w:eastAsia="黑体" w:cs="Droid Sans"/>
          <w:color w:val="000000"/>
          <w:sz w:val="32"/>
          <w:szCs w:val="32"/>
        </w:rPr>
      </w:pPr>
      <w:r>
        <w:rPr>
          <w:rFonts w:hint="eastAsia" w:ascii="黑体" w:hAnsi="Times New Roman" w:eastAsia="黑体" w:cs="Droid Sans"/>
          <w:color w:val="000000"/>
          <w:sz w:val="32"/>
          <w:szCs w:val="32"/>
        </w:rPr>
        <w:t>二、收入预算情况说明</w:t>
      </w:r>
    </w:p>
    <w:p>
      <w:pPr>
        <w:spacing w:line="560" w:lineRule="exact"/>
        <w:ind w:firstLine="640" w:firstLineChars="200"/>
        <w:rPr>
          <w:rFonts w:hint="eastAsia" w:ascii="仿宋_GB2312" w:hAnsi="Times New Roman" w:eastAsia="仿宋_GB2312" w:cs="Droid Sans"/>
          <w:sz w:val="32"/>
          <w:szCs w:val="32"/>
        </w:rPr>
      </w:pPr>
      <w:r>
        <w:rPr>
          <w:rFonts w:hint="eastAsia" w:ascii="仿宋_GB2312" w:hAnsi="Times New Roman" w:eastAsia="仿宋_GB2312" w:cs="Droid Sans"/>
          <w:sz w:val="32"/>
          <w:szCs w:val="32"/>
        </w:rPr>
        <w:t>2023年度收入预算</w:t>
      </w:r>
      <w:r>
        <w:rPr>
          <w:rFonts w:ascii="仿宋_GB2312" w:hAnsi="Times New Roman" w:eastAsia="仿宋_GB2312" w:cs="Droid Sans"/>
          <w:sz w:val="32"/>
          <w:szCs w:val="32"/>
        </w:rPr>
        <w:t>939</w:t>
      </w:r>
      <w:r>
        <w:rPr>
          <w:rFonts w:hint="eastAsia" w:ascii="仿宋_GB2312" w:hAnsi="Times New Roman" w:eastAsia="仿宋_GB2312" w:cs="Droid Sans"/>
          <w:sz w:val="32"/>
          <w:szCs w:val="32"/>
        </w:rPr>
        <w:t>万元，比2022年年初预算数</w:t>
      </w:r>
      <w:r>
        <w:rPr>
          <w:rFonts w:ascii="仿宋_GB2312" w:hAnsi="Times New Roman" w:eastAsia="仿宋_GB2312" w:cs="Droid Sans"/>
          <w:sz w:val="32"/>
          <w:szCs w:val="32"/>
        </w:rPr>
        <w:t>906.186</w:t>
      </w:r>
      <w:r>
        <w:rPr>
          <w:rFonts w:hint="eastAsia" w:ascii="仿宋_GB2312" w:hAnsi="Times New Roman" w:eastAsia="仿宋_GB2312" w:cs="Droid Sans"/>
          <w:sz w:val="32"/>
          <w:szCs w:val="32"/>
        </w:rPr>
        <w:t>万元增加</w:t>
      </w:r>
      <w:r>
        <w:rPr>
          <w:rFonts w:ascii="仿宋_GB2312" w:hAnsi="Times New Roman" w:eastAsia="仿宋_GB2312" w:cs="Droid Sans"/>
          <w:sz w:val="32"/>
          <w:szCs w:val="32"/>
        </w:rPr>
        <w:t>32.814</w:t>
      </w:r>
      <w:r>
        <w:rPr>
          <w:rFonts w:hint="eastAsia" w:ascii="仿宋_GB2312" w:hAnsi="Times New Roman" w:eastAsia="仿宋_GB2312" w:cs="Droid Sans"/>
          <w:sz w:val="32"/>
          <w:szCs w:val="32"/>
        </w:rPr>
        <w:t>万元，增长3</w:t>
      </w:r>
      <w:r>
        <w:rPr>
          <w:rFonts w:ascii="仿宋_GB2312" w:hAnsi="Times New Roman" w:eastAsia="仿宋_GB2312" w:cs="Droid Sans"/>
          <w:sz w:val="32"/>
          <w:szCs w:val="32"/>
        </w:rPr>
        <w:t>.62</w:t>
      </w:r>
      <w:r>
        <w:rPr>
          <w:rFonts w:hint="eastAsia" w:ascii="仿宋_GB2312" w:hAnsi="Times New Roman" w:eastAsia="仿宋_GB2312" w:cs="Droid Sans"/>
          <w:sz w:val="32"/>
          <w:szCs w:val="32"/>
        </w:rPr>
        <w:t>%。主要原因是退休人员增加。</w:t>
      </w:r>
    </w:p>
    <w:p>
      <w:pPr>
        <w:spacing w:line="560" w:lineRule="exact"/>
        <w:ind w:firstLine="640" w:firstLineChars="200"/>
        <w:rPr>
          <w:rFonts w:hint="eastAsia" w:ascii="楷体_GB2312" w:hAnsi="Times New Roman" w:eastAsia="楷体_GB2312" w:cs="Droid Sans"/>
          <w:sz w:val="32"/>
          <w:szCs w:val="32"/>
        </w:rPr>
      </w:pPr>
      <w:r>
        <w:rPr>
          <w:rFonts w:hint="eastAsia" w:ascii="楷体_GB2312" w:hAnsi="Times New Roman" w:eastAsia="楷体_GB2312" w:cs="Droid Sans"/>
          <w:sz w:val="32"/>
          <w:szCs w:val="32"/>
        </w:rPr>
        <w:t>（一）本年财政拨款收入</w:t>
      </w:r>
      <w:r>
        <w:rPr>
          <w:rFonts w:ascii="楷体_GB2312" w:hAnsi="Times New Roman" w:eastAsia="楷体_GB2312" w:cs="Droid Sans"/>
          <w:sz w:val="32"/>
          <w:szCs w:val="32"/>
        </w:rPr>
        <w:t>939</w:t>
      </w:r>
      <w:r>
        <w:rPr>
          <w:rFonts w:hint="eastAsia" w:ascii="楷体_GB2312" w:hAnsi="Times New Roman" w:eastAsia="楷体_GB2312" w:cs="Droid Sans"/>
          <w:sz w:val="32"/>
          <w:szCs w:val="32"/>
        </w:rPr>
        <w:t>万元</w:t>
      </w:r>
    </w:p>
    <w:p>
      <w:pPr>
        <w:spacing w:line="560" w:lineRule="exact"/>
        <w:ind w:firstLine="640" w:firstLineChars="200"/>
        <w:rPr>
          <w:rFonts w:hint="eastAsia" w:ascii="仿宋_GB2312" w:hAnsi="Times New Roman" w:eastAsia="仿宋_GB2312" w:cs="Droid Sans"/>
          <w:sz w:val="32"/>
          <w:szCs w:val="32"/>
        </w:rPr>
      </w:pPr>
      <w:r>
        <w:rPr>
          <w:rFonts w:hint="eastAsia" w:ascii="仿宋_GB2312" w:hAnsi="Times New Roman" w:eastAsia="仿宋_GB2312" w:cs="Droid Sans"/>
          <w:sz w:val="32"/>
          <w:szCs w:val="32"/>
        </w:rPr>
        <w:t>1.一般公共预算拨款收入</w:t>
      </w:r>
      <w:r>
        <w:rPr>
          <w:rFonts w:ascii="仿宋_GB2312" w:hAnsi="Times New Roman" w:eastAsia="仿宋_GB2312" w:cs="Droid Sans"/>
          <w:sz w:val="32"/>
          <w:szCs w:val="32"/>
        </w:rPr>
        <w:t>939</w:t>
      </w:r>
      <w:r>
        <w:rPr>
          <w:rFonts w:hint="eastAsia" w:ascii="仿宋_GB2312" w:hAnsi="Times New Roman" w:eastAsia="仿宋_GB2312" w:cs="Droid Sans"/>
          <w:sz w:val="32"/>
          <w:szCs w:val="32"/>
        </w:rPr>
        <w:t>万元。</w:t>
      </w:r>
    </w:p>
    <w:p>
      <w:pPr>
        <w:spacing w:line="560" w:lineRule="exact"/>
        <w:ind w:firstLine="640" w:firstLineChars="200"/>
        <w:rPr>
          <w:rFonts w:hint="eastAsia" w:ascii="仿宋_GB2312" w:hAnsi="Times New Roman" w:eastAsia="仿宋_GB2312" w:cs="Droid Sans"/>
          <w:sz w:val="32"/>
          <w:szCs w:val="32"/>
        </w:rPr>
      </w:pPr>
      <w:r>
        <w:rPr>
          <w:rFonts w:hint="eastAsia" w:ascii="仿宋_GB2312" w:hAnsi="Times New Roman" w:eastAsia="仿宋_GB2312" w:cs="Droid Sans"/>
          <w:sz w:val="32"/>
          <w:szCs w:val="32"/>
        </w:rPr>
        <w:t>2.政府性基金预算拨款收入0万元。</w:t>
      </w:r>
    </w:p>
    <w:p>
      <w:pPr>
        <w:spacing w:line="560" w:lineRule="exact"/>
        <w:ind w:firstLine="640" w:firstLineChars="200"/>
        <w:rPr>
          <w:rFonts w:hint="eastAsia" w:ascii="仿宋_GB2312" w:hAnsi="Times New Roman" w:eastAsia="仿宋_GB2312" w:cs="Droid Sans"/>
          <w:sz w:val="32"/>
          <w:szCs w:val="32"/>
        </w:rPr>
      </w:pPr>
      <w:r>
        <w:rPr>
          <w:rFonts w:hint="eastAsia" w:ascii="仿宋_GB2312" w:hAnsi="Times New Roman" w:eastAsia="仿宋_GB2312" w:cs="Droid Sans"/>
          <w:sz w:val="32"/>
          <w:szCs w:val="32"/>
        </w:rPr>
        <w:t>3.国有资本经营预算拨款收入0万元。</w:t>
      </w:r>
    </w:p>
    <w:p>
      <w:pPr>
        <w:spacing w:line="560" w:lineRule="exact"/>
        <w:ind w:firstLine="640" w:firstLineChars="200"/>
        <w:rPr>
          <w:rFonts w:hint="eastAsia" w:ascii="楷体_GB2312" w:hAnsi="Times New Roman" w:eastAsia="楷体_GB2312" w:cs="Droid Sans"/>
          <w:sz w:val="32"/>
          <w:szCs w:val="32"/>
        </w:rPr>
      </w:pPr>
      <w:r>
        <w:rPr>
          <w:rFonts w:hint="eastAsia" w:ascii="楷体_GB2312" w:hAnsi="Times New Roman" w:eastAsia="楷体_GB2312" w:cs="Droid Sans"/>
          <w:sz w:val="32"/>
          <w:szCs w:val="32"/>
        </w:rPr>
        <w:t>（二）本年其他资金收入0万元</w:t>
      </w:r>
    </w:p>
    <w:p>
      <w:pPr>
        <w:spacing w:line="560" w:lineRule="exact"/>
        <w:ind w:firstLine="640" w:firstLineChars="200"/>
        <w:rPr>
          <w:rFonts w:ascii="仿宋_GB2312" w:hAnsi="Times New Roman" w:eastAsia="仿宋_GB2312" w:cs="Droid Sans"/>
          <w:sz w:val="32"/>
          <w:szCs w:val="32"/>
        </w:rPr>
      </w:pPr>
      <w:r>
        <w:rPr>
          <w:rFonts w:hint="eastAsia" w:ascii="仿宋_GB2312" w:hAnsi="Times New Roman" w:eastAsia="仿宋_GB2312" w:cs="Droid Sans"/>
          <w:sz w:val="32"/>
          <w:szCs w:val="32"/>
        </w:rPr>
        <w:t>4.财政专户管理资金收入0万元。</w:t>
      </w:r>
    </w:p>
    <w:p>
      <w:pPr>
        <w:spacing w:line="560" w:lineRule="exact"/>
        <w:ind w:firstLine="640" w:firstLineChars="200"/>
        <w:rPr>
          <w:rFonts w:ascii="仿宋_GB2312" w:hAnsi="Times New Roman" w:eastAsia="仿宋_GB2312" w:cs="Droid Sans"/>
          <w:sz w:val="32"/>
          <w:szCs w:val="32"/>
        </w:rPr>
      </w:pPr>
      <w:r>
        <w:rPr>
          <w:rFonts w:hint="eastAsia" w:ascii="仿宋_GB2312" w:hAnsi="Times New Roman" w:eastAsia="仿宋_GB2312" w:cs="Droid Sans"/>
          <w:sz w:val="32"/>
          <w:szCs w:val="32"/>
        </w:rPr>
        <w:t>5.事业收入0万元。</w:t>
      </w:r>
    </w:p>
    <w:p>
      <w:pPr>
        <w:spacing w:line="560" w:lineRule="exact"/>
        <w:ind w:firstLine="640" w:firstLineChars="200"/>
        <w:rPr>
          <w:rFonts w:ascii="仿宋_GB2312" w:hAnsi="Times New Roman" w:eastAsia="仿宋_GB2312" w:cs="Droid Sans"/>
          <w:sz w:val="32"/>
          <w:szCs w:val="32"/>
        </w:rPr>
      </w:pPr>
      <w:r>
        <w:rPr>
          <w:rFonts w:hint="eastAsia" w:ascii="仿宋_GB2312" w:hAnsi="Times New Roman" w:eastAsia="仿宋_GB2312" w:cs="Droid Sans"/>
          <w:sz w:val="32"/>
          <w:szCs w:val="32"/>
        </w:rPr>
        <w:t>6.上级补助收入0万元。</w:t>
      </w:r>
    </w:p>
    <w:p>
      <w:pPr>
        <w:spacing w:line="560" w:lineRule="exact"/>
        <w:ind w:firstLine="640" w:firstLineChars="200"/>
        <w:rPr>
          <w:rFonts w:ascii="仿宋_GB2312" w:hAnsi="Times New Roman" w:eastAsia="仿宋_GB2312" w:cs="Droid Sans"/>
          <w:sz w:val="32"/>
          <w:szCs w:val="32"/>
        </w:rPr>
      </w:pPr>
      <w:r>
        <w:rPr>
          <w:rFonts w:hint="eastAsia" w:ascii="仿宋_GB2312" w:hAnsi="Times New Roman" w:eastAsia="仿宋_GB2312" w:cs="Droid Sans"/>
          <w:sz w:val="32"/>
          <w:szCs w:val="32"/>
        </w:rPr>
        <w:t>7.附属单位上缴收入0万元。</w:t>
      </w:r>
    </w:p>
    <w:p>
      <w:pPr>
        <w:spacing w:line="560" w:lineRule="exact"/>
        <w:ind w:firstLine="640" w:firstLineChars="200"/>
        <w:rPr>
          <w:rFonts w:ascii="仿宋_GB2312" w:hAnsi="Times New Roman" w:eastAsia="仿宋_GB2312" w:cs="Droid Sans"/>
          <w:sz w:val="32"/>
          <w:szCs w:val="32"/>
        </w:rPr>
      </w:pPr>
      <w:r>
        <w:rPr>
          <w:rFonts w:hint="eastAsia" w:ascii="仿宋_GB2312" w:hAnsi="Times New Roman" w:eastAsia="仿宋_GB2312" w:cs="Droid Sans"/>
          <w:sz w:val="32"/>
          <w:szCs w:val="32"/>
        </w:rPr>
        <w:t>8.事业单位经营收入0万元。</w:t>
      </w:r>
    </w:p>
    <w:p>
      <w:pPr>
        <w:spacing w:line="560" w:lineRule="exact"/>
        <w:ind w:firstLine="640" w:firstLineChars="200"/>
        <w:rPr>
          <w:rFonts w:hint="eastAsia" w:ascii="仿宋_GB2312" w:hAnsi="Times New Roman" w:eastAsia="仿宋_GB2312" w:cs="Droid Sans"/>
          <w:sz w:val="32"/>
          <w:szCs w:val="32"/>
        </w:rPr>
      </w:pPr>
      <w:r>
        <w:rPr>
          <w:rFonts w:hint="eastAsia" w:ascii="仿宋_GB2312" w:hAnsi="Times New Roman" w:eastAsia="仿宋_GB2312" w:cs="Droid Sans"/>
          <w:sz w:val="32"/>
          <w:szCs w:val="32"/>
        </w:rPr>
        <w:t>9.其他收入0万元。</w:t>
      </w:r>
    </w:p>
    <w:p>
      <w:pPr>
        <w:spacing w:line="560" w:lineRule="exact"/>
        <w:ind w:firstLine="640" w:firstLineChars="200"/>
        <w:rPr>
          <w:rFonts w:hint="eastAsia" w:ascii="楷体_GB2312" w:hAnsi="Times New Roman" w:eastAsia="楷体_GB2312" w:cs="Droid Sans"/>
          <w:sz w:val="32"/>
          <w:szCs w:val="32"/>
        </w:rPr>
      </w:pPr>
      <w:r>
        <w:rPr>
          <w:rFonts w:hint="eastAsia" w:ascii="楷体_GB2312" w:hAnsi="Times New Roman" w:eastAsia="楷体_GB2312" w:cs="Droid Sans"/>
          <w:sz w:val="32"/>
          <w:szCs w:val="32"/>
        </w:rPr>
        <w:t>（三）上年结转结余0万元</w:t>
      </w:r>
    </w:p>
    <w:p>
      <w:pPr>
        <w:spacing w:line="560" w:lineRule="exact"/>
        <w:ind w:firstLine="640" w:firstLineChars="200"/>
        <w:rPr>
          <w:rFonts w:hint="eastAsia" w:ascii="仿宋_GB2312" w:hAnsi="Times New Roman" w:eastAsia="仿宋_GB2312" w:cs="Droid Sans"/>
          <w:sz w:val="32"/>
          <w:szCs w:val="32"/>
        </w:rPr>
      </w:pPr>
      <w:r>
        <w:rPr>
          <w:rFonts w:hint="eastAsia" w:ascii="仿宋_GB2312" w:hAnsi="Times New Roman" w:eastAsia="仿宋_GB2312" w:cs="Droid Sans"/>
          <w:sz w:val="32"/>
          <w:szCs w:val="32"/>
        </w:rPr>
        <w:t>10.上年结转结余0万元。</w:t>
      </w:r>
    </w:p>
    <w:p>
      <w:pPr>
        <w:jc w:val="center"/>
        <w:rPr>
          <w:rFonts w:hint="eastAsia" w:ascii="仿宋_GB2312" w:eastAsia="仿宋_GB2312"/>
          <w:color w:val="auto"/>
          <w:sz w:val="32"/>
          <w:szCs w:val="32"/>
          <w:lang w:val="en-US" w:eastAsia="zh-CN"/>
        </w:rPr>
      </w:pPr>
      <w:r>
        <w:rPr>
          <w:rFonts w:hint="eastAsia"/>
          <w:lang w:val="en-US" w:eastAsia="zh-CN"/>
        </w:rPr>
        <w:tab/>
      </w:r>
      <w:r>
        <w:rPr>
          <w:rFonts w:hint="eastAsia" w:ascii="仿宋_GB2312" w:eastAsia="仿宋_GB2312"/>
          <w:b/>
          <w:bCs/>
          <w:color w:val="auto"/>
          <w:sz w:val="32"/>
          <w:szCs w:val="32"/>
          <w:lang w:val="en-US" w:eastAsia="zh-CN"/>
        </w:rPr>
        <w:t>图1：收入预算</w:t>
      </w:r>
    </w:p>
    <w:p>
      <w:pPr>
        <w:keepNext/>
        <w:keepLines/>
        <w:spacing w:before="100" w:beforeAutospacing="1" w:after="100" w:afterAutospacing="1"/>
        <w:jc w:val="center"/>
        <w:outlineLvl w:val="1"/>
        <w:rPr>
          <w:rFonts w:hint="eastAsia" w:ascii="仿宋_GB2312" w:hAnsi="Cambria" w:eastAsia="仿宋_GB2312" w:cs="Times New Roman"/>
          <w:kern w:val="0"/>
          <w:sz w:val="32"/>
          <w:szCs w:val="32"/>
        </w:rPr>
      </w:pPr>
      <w:r>
        <w:rPr>
          <w:rFonts w:hint="eastAsia" w:ascii="仿宋_GB2312" w:hAnsi="Cambria" w:eastAsia="仿宋_GB2312" w:cs="Times New Roman"/>
          <w:b/>
          <w:bCs/>
          <w:kern w:val="0"/>
          <w:sz w:val="32"/>
          <w:szCs w:val="32"/>
          <w:lang w:val="zh-CN"/>
        </w:rPr>
        <w:drawing>
          <wp:inline distT="0" distB="0" distL="0" distR="0">
            <wp:extent cx="3226435" cy="2115820"/>
            <wp:effectExtent l="4445" t="4445" r="7620" b="1333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spacing w:line="560" w:lineRule="exact"/>
        <w:ind w:firstLine="640" w:firstLineChars="200"/>
        <w:rPr>
          <w:rFonts w:hint="eastAsia" w:ascii="黑体" w:hAnsi="Times New Roman" w:eastAsia="黑体" w:cs="Droid Sans"/>
          <w:sz w:val="32"/>
          <w:szCs w:val="32"/>
        </w:rPr>
      </w:pPr>
      <w:r>
        <w:rPr>
          <w:rFonts w:hint="eastAsia" w:ascii="黑体" w:hAnsi="Times New Roman" w:eastAsia="黑体" w:cs="Droid Sans"/>
          <w:sz w:val="32"/>
          <w:szCs w:val="32"/>
        </w:rPr>
        <w:t>三、支出预算情况说明</w:t>
      </w:r>
    </w:p>
    <w:p>
      <w:pPr>
        <w:spacing w:line="560" w:lineRule="exact"/>
        <w:ind w:firstLine="640" w:firstLineChars="200"/>
        <w:rPr>
          <w:rFonts w:hint="eastAsia" w:ascii="仿宋_GB2312" w:hAnsi="Times New Roman" w:eastAsia="仿宋_GB2312" w:cs="Droid Sans"/>
          <w:sz w:val="32"/>
          <w:szCs w:val="32"/>
        </w:rPr>
      </w:pPr>
      <w:r>
        <w:rPr>
          <w:rFonts w:hint="eastAsia" w:ascii="仿宋_GB2312" w:hAnsi="Times New Roman" w:eastAsia="仿宋_GB2312" w:cs="Droid Sans"/>
          <w:sz w:val="32"/>
          <w:szCs w:val="32"/>
        </w:rPr>
        <w:t>2023年支出预算</w:t>
      </w:r>
      <w:r>
        <w:rPr>
          <w:rFonts w:ascii="仿宋_GB2312" w:hAnsi="Times New Roman" w:eastAsia="仿宋_GB2312" w:cs="Droid Sans"/>
          <w:sz w:val="32"/>
          <w:szCs w:val="32"/>
        </w:rPr>
        <w:t>939</w:t>
      </w:r>
      <w:r>
        <w:rPr>
          <w:rFonts w:hint="eastAsia" w:ascii="仿宋_GB2312" w:hAnsi="Times New Roman" w:eastAsia="仿宋_GB2312" w:cs="Droid Sans"/>
          <w:sz w:val="32"/>
          <w:szCs w:val="32"/>
        </w:rPr>
        <w:t>万元，比2022年年初预算数</w:t>
      </w:r>
      <w:r>
        <w:rPr>
          <w:rFonts w:ascii="仿宋_GB2312" w:hAnsi="Times New Roman" w:eastAsia="仿宋_GB2312" w:cs="Droid Sans"/>
          <w:sz w:val="32"/>
          <w:szCs w:val="32"/>
        </w:rPr>
        <w:t>906.186</w:t>
      </w:r>
      <w:r>
        <w:rPr>
          <w:rFonts w:hint="eastAsia" w:ascii="仿宋_GB2312" w:hAnsi="Times New Roman" w:eastAsia="仿宋_GB2312" w:cs="Droid Sans"/>
          <w:sz w:val="32"/>
          <w:szCs w:val="32"/>
        </w:rPr>
        <w:t>万元增加3</w:t>
      </w:r>
      <w:r>
        <w:rPr>
          <w:rFonts w:ascii="仿宋_GB2312" w:hAnsi="Times New Roman" w:eastAsia="仿宋_GB2312" w:cs="Droid Sans"/>
          <w:sz w:val="32"/>
          <w:szCs w:val="32"/>
        </w:rPr>
        <w:t>2.814</w:t>
      </w:r>
      <w:r>
        <w:rPr>
          <w:rFonts w:hint="eastAsia" w:ascii="仿宋_GB2312" w:hAnsi="Times New Roman" w:eastAsia="仿宋_GB2312" w:cs="Droid Sans"/>
          <w:sz w:val="32"/>
          <w:szCs w:val="32"/>
        </w:rPr>
        <w:t>万元，增长3</w:t>
      </w:r>
      <w:r>
        <w:rPr>
          <w:rFonts w:ascii="仿宋_GB2312" w:hAnsi="Times New Roman" w:eastAsia="仿宋_GB2312" w:cs="Droid Sans"/>
          <w:sz w:val="32"/>
          <w:szCs w:val="32"/>
        </w:rPr>
        <w:t>.62</w:t>
      </w:r>
      <w:r>
        <w:rPr>
          <w:rFonts w:hint="eastAsia" w:ascii="仿宋_GB2312" w:hAnsi="Times New Roman" w:eastAsia="仿宋_GB2312" w:cs="Droid Sans"/>
          <w:sz w:val="32"/>
          <w:szCs w:val="32"/>
        </w:rPr>
        <w:t>%。主要原因是退休人员增加。</w:t>
      </w:r>
    </w:p>
    <w:p>
      <w:pPr>
        <w:spacing w:line="560" w:lineRule="exact"/>
        <w:ind w:firstLine="640"/>
        <w:rPr>
          <w:rFonts w:hint="eastAsia" w:ascii="仿宋_GB2312" w:hAnsi="Times New Roman" w:eastAsia="仿宋_GB2312" w:cs="Droid Sans"/>
          <w:sz w:val="32"/>
          <w:szCs w:val="32"/>
        </w:rPr>
      </w:pPr>
      <w:r>
        <w:rPr>
          <w:rFonts w:hint="eastAsia" w:ascii="楷体_GB2312" w:hAnsi="楷体_GB2312" w:eastAsia="楷体_GB2312" w:cs="楷体_GB2312"/>
          <w:sz w:val="32"/>
          <w:szCs w:val="32"/>
        </w:rPr>
        <w:t>(一)基本支出。</w:t>
      </w:r>
      <w:r>
        <w:rPr>
          <w:rFonts w:hint="eastAsia" w:ascii="仿宋_GB2312" w:hAnsi="Times New Roman" w:eastAsia="仿宋_GB2312" w:cs="Droid Sans"/>
          <w:sz w:val="32"/>
          <w:szCs w:val="32"/>
        </w:rPr>
        <w:t>基本支出预算</w:t>
      </w:r>
      <w:r>
        <w:rPr>
          <w:rFonts w:ascii="仿宋_GB2312" w:hAnsi="Times New Roman" w:eastAsia="仿宋_GB2312" w:cs="Droid Sans"/>
          <w:sz w:val="32"/>
          <w:szCs w:val="32"/>
        </w:rPr>
        <w:t>939</w:t>
      </w:r>
      <w:r>
        <w:rPr>
          <w:rFonts w:hint="eastAsia" w:ascii="仿宋_GB2312" w:hAnsi="Times New Roman" w:eastAsia="仿宋_GB2312" w:cs="Droid Sans"/>
          <w:sz w:val="32"/>
          <w:szCs w:val="32"/>
        </w:rPr>
        <w:t>万元，占总支出预算</w:t>
      </w:r>
      <w:r>
        <w:rPr>
          <w:rFonts w:ascii="仿宋_GB2312" w:hAnsi="Times New Roman" w:eastAsia="仿宋_GB2312" w:cs="Droid Sans"/>
          <w:sz w:val="32"/>
          <w:szCs w:val="32"/>
        </w:rPr>
        <w:t>100</w:t>
      </w:r>
      <w:r>
        <w:rPr>
          <w:rFonts w:hint="eastAsia" w:ascii="仿宋_GB2312" w:hAnsi="Times New Roman" w:eastAsia="仿宋_GB2312" w:cs="Droid Sans"/>
          <w:sz w:val="32"/>
          <w:szCs w:val="32"/>
        </w:rPr>
        <w:t>%，比2022年年初预算数</w:t>
      </w:r>
      <w:r>
        <w:rPr>
          <w:rFonts w:ascii="仿宋_GB2312" w:hAnsi="Times New Roman" w:eastAsia="仿宋_GB2312" w:cs="Droid Sans"/>
          <w:sz w:val="32"/>
          <w:szCs w:val="32"/>
        </w:rPr>
        <w:t>906.186</w:t>
      </w:r>
      <w:r>
        <w:rPr>
          <w:rFonts w:hint="eastAsia" w:ascii="仿宋_GB2312" w:hAnsi="Times New Roman" w:eastAsia="仿宋_GB2312" w:cs="Droid Sans"/>
          <w:sz w:val="32"/>
          <w:szCs w:val="32"/>
        </w:rPr>
        <w:t>万元增加3</w:t>
      </w:r>
      <w:r>
        <w:rPr>
          <w:rFonts w:ascii="仿宋_GB2312" w:hAnsi="Times New Roman" w:eastAsia="仿宋_GB2312" w:cs="Droid Sans"/>
          <w:sz w:val="32"/>
          <w:szCs w:val="32"/>
        </w:rPr>
        <w:t>2.814</w:t>
      </w:r>
      <w:r>
        <w:rPr>
          <w:rFonts w:hint="eastAsia" w:ascii="仿宋_GB2312" w:hAnsi="Times New Roman" w:eastAsia="仿宋_GB2312" w:cs="Droid Sans"/>
          <w:sz w:val="32"/>
          <w:szCs w:val="32"/>
        </w:rPr>
        <w:t>万元，增长3</w:t>
      </w:r>
      <w:r>
        <w:rPr>
          <w:rFonts w:ascii="仿宋_GB2312" w:hAnsi="Times New Roman" w:eastAsia="仿宋_GB2312" w:cs="Droid Sans"/>
          <w:sz w:val="32"/>
          <w:szCs w:val="32"/>
        </w:rPr>
        <w:t>.62</w:t>
      </w:r>
      <w:r>
        <w:rPr>
          <w:rFonts w:hint="eastAsia" w:ascii="仿宋_GB2312" w:hAnsi="Times New Roman" w:eastAsia="仿宋_GB2312" w:cs="Droid Sans"/>
          <w:sz w:val="32"/>
          <w:szCs w:val="32"/>
        </w:rPr>
        <w:t>%。</w:t>
      </w:r>
    </w:p>
    <w:p>
      <w:pPr>
        <w:spacing w:line="560" w:lineRule="exact"/>
        <w:ind w:firstLine="640"/>
        <w:rPr>
          <w:rFonts w:hint="eastAsia" w:ascii="仿宋_GB2312" w:hAnsi="Times New Roman" w:eastAsia="仿宋_GB2312" w:cs="Droid Sans"/>
          <w:sz w:val="32"/>
          <w:szCs w:val="32"/>
        </w:rPr>
      </w:pPr>
      <w:r>
        <w:rPr>
          <w:rFonts w:hint="eastAsia" w:ascii="楷体_GB2312" w:hAnsi="楷体_GB2312" w:eastAsia="楷体_GB2312" w:cs="楷体_GB2312"/>
          <w:sz w:val="32"/>
          <w:szCs w:val="32"/>
        </w:rPr>
        <w:t>（二）项目支出。</w:t>
      </w:r>
      <w:r>
        <w:rPr>
          <w:rFonts w:hint="eastAsia" w:ascii="仿宋_GB2312" w:hAnsi="Times New Roman" w:eastAsia="仿宋_GB2312" w:cs="Droid Sans"/>
          <w:sz w:val="32"/>
          <w:szCs w:val="32"/>
        </w:rPr>
        <w:t>项目支出预算</w:t>
      </w:r>
      <w:r>
        <w:rPr>
          <w:rFonts w:ascii="仿宋_GB2312" w:hAnsi="Times New Roman" w:eastAsia="仿宋_GB2312" w:cs="Droid Sans"/>
          <w:sz w:val="32"/>
          <w:szCs w:val="32"/>
        </w:rPr>
        <w:t>0</w:t>
      </w:r>
      <w:r>
        <w:rPr>
          <w:rFonts w:hint="eastAsia" w:ascii="仿宋_GB2312" w:hAnsi="Times New Roman" w:eastAsia="仿宋_GB2312" w:cs="Droid Sans"/>
          <w:sz w:val="32"/>
          <w:szCs w:val="32"/>
        </w:rPr>
        <w:t>万元，比2022年年初预算数</w:t>
      </w:r>
      <w:r>
        <w:rPr>
          <w:rFonts w:ascii="仿宋_GB2312" w:hAnsi="Times New Roman" w:eastAsia="仿宋_GB2312" w:cs="Droid Sans"/>
          <w:sz w:val="32"/>
          <w:szCs w:val="32"/>
        </w:rPr>
        <w:t>0</w:t>
      </w:r>
      <w:r>
        <w:rPr>
          <w:rFonts w:hint="eastAsia" w:ascii="仿宋_GB2312" w:hAnsi="Times New Roman" w:eastAsia="仿宋_GB2312" w:cs="Droid Sans"/>
          <w:sz w:val="32"/>
          <w:szCs w:val="32"/>
        </w:rPr>
        <w:t>万元，与去</w:t>
      </w:r>
      <w:bookmarkStart w:id="0" w:name="_GoBack"/>
      <w:bookmarkEnd w:id="0"/>
      <w:r>
        <w:rPr>
          <w:rFonts w:hint="eastAsia" w:ascii="仿宋_GB2312" w:hAnsi="Times New Roman" w:eastAsia="仿宋_GB2312" w:cs="Droid Sans"/>
          <w:sz w:val="32"/>
          <w:szCs w:val="32"/>
        </w:rPr>
        <w:t>年持平：</w:t>
      </w:r>
    </w:p>
    <w:p>
      <w:pPr>
        <w:spacing w:line="560" w:lineRule="exact"/>
        <w:ind w:firstLine="640"/>
        <w:rPr>
          <w:rFonts w:hint="eastAsia" w:ascii="仿宋_GB2312" w:hAnsi="Times New Roman" w:eastAsia="仿宋_GB2312" w:cs="Droid Sans"/>
          <w:sz w:val="32"/>
          <w:szCs w:val="32"/>
        </w:rPr>
      </w:pPr>
      <w:r>
        <w:rPr>
          <w:rFonts w:hint="eastAsia" w:ascii="仿宋_GB2312" w:hAnsi="Times New Roman" w:eastAsia="仿宋_GB2312" w:cs="Droid Sans"/>
          <w:sz w:val="32"/>
          <w:szCs w:val="32"/>
        </w:rPr>
        <w:t>1.事业单位经营支出</w:t>
      </w:r>
      <w:r>
        <w:rPr>
          <w:rFonts w:ascii="仿宋_GB2312" w:hAnsi="Times New Roman" w:eastAsia="仿宋_GB2312" w:cs="Droid Sans"/>
          <w:sz w:val="32"/>
          <w:szCs w:val="32"/>
        </w:rPr>
        <w:t>0</w:t>
      </w:r>
      <w:r>
        <w:rPr>
          <w:rFonts w:hint="eastAsia" w:ascii="仿宋_GB2312" w:hAnsi="Times New Roman" w:eastAsia="仿宋_GB2312" w:cs="Droid Sans"/>
          <w:sz w:val="32"/>
          <w:szCs w:val="32"/>
        </w:rPr>
        <w:t>万元。</w:t>
      </w:r>
    </w:p>
    <w:p>
      <w:pPr>
        <w:spacing w:line="560" w:lineRule="exact"/>
        <w:ind w:firstLine="640"/>
        <w:rPr>
          <w:rFonts w:hint="eastAsia" w:ascii="仿宋_GB2312" w:hAnsi="Times New Roman" w:eastAsia="仿宋_GB2312" w:cs="Droid Sans"/>
          <w:sz w:val="32"/>
          <w:szCs w:val="32"/>
        </w:rPr>
      </w:pPr>
      <w:r>
        <w:rPr>
          <w:rFonts w:hint="eastAsia" w:ascii="仿宋_GB2312" w:hAnsi="Times New Roman" w:eastAsia="仿宋_GB2312" w:cs="Droid Sans"/>
          <w:sz w:val="32"/>
          <w:szCs w:val="32"/>
        </w:rPr>
        <w:t>2.上缴上级支出</w:t>
      </w:r>
      <w:r>
        <w:rPr>
          <w:rFonts w:ascii="仿宋_GB2312" w:hAnsi="Times New Roman" w:eastAsia="仿宋_GB2312" w:cs="Droid Sans"/>
          <w:sz w:val="32"/>
          <w:szCs w:val="32"/>
        </w:rPr>
        <w:t>0</w:t>
      </w:r>
      <w:r>
        <w:rPr>
          <w:rFonts w:hint="eastAsia" w:ascii="仿宋_GB2312" w:hAnsi="Times New Roman" w:eastAsia="仿宋_GB2312" w:cs="Droid Sans"/>
          <w:sz w:val="32"/>
          <w:szCs w:val="32"/>
        </w:rPr>
        <w:t>万元。</w:t>
      </w:r>
    </w:p>
    <w:p>
      <w:pPr>
        <w:spacing w:line="560" w:lineRule="exact"/>
        <w:ind w:firstLine="640"/>
        <w:rPr>
          <w:rFonts w:hint="eastAsia" w:ascii="仿宋_GB2312" w:hAnsi="Times New Roman" w:eastAsia="仿宋_GB2312" w:cs="Droid Sans"/>
          <w:sz w:val="32"/>
          <w:szCs w:val="32"/>
        </w:rPr>
      </w:pPr>
      <w:r>
        <w:rPr>
          <w:rFonts w:hint="eastAsia" w:ascii="仿宋_GB2312" w:hAnsi="Times New Roman" w:eastAsia="仿宋_GB2312" w:cs="Droid Sans"/>
          <w:sz w:val="32"/>
          <w:szCs w:val="32"/>
        </w:rPr>
        <w:t>3.对附属单位补助支出</w:t>
      </w:r>
      <w:r>
        <w:rPr>
          <w:rFonts w:ascii="仿宋_GB2312" w:hAnsi="Times New Roman" w:eastAsia="仿宋_GB2312" w:cs="Droid Sans"/>
          <w:sz w:val="32"/>
          <w:szCs w:val="32"/>
        </w:rPr>
        <w:t>0</w:t>
      </w:r>
      <w:r>
        <w:rPr>
          <w:rFonts w:hint="eastAsia" w:ascii="仿宋_GB2312" w:hAnsi="Times New Roman" w:eastAsia="仿宋_GB2312" w:cs="Droid Sans"/>
          <w:sz w:val="32"/>
          <w:szCs w:val="32"/>
        </w:rPr>
        <w:t>万元。</w:t>
      </w:r>
    </w:p>
    <w:p>
      <w:pPr>
        <w:pStyle w:val="2"/>
        <w:jc w:val="center"/>
        <w:rPr>
          <w:rFonts w:hint="eastAsia" w:ascii="仿宋_GB2312" w:eastAsia="仿宋_GB2312"/>
          <w:color w:val="auto"/>
          <w:sz w:val="32"/>
          <w:szCs w:val="32"/>
          <w:lang w:val="en-US" w:eastAsia="zh-CN"/>
        </w:rPr>
      </w:pPr>
      <w:r>
        <w:drawing>
          <wp:anchor distT="0" distB="0" distL="114300" distR="114300" simplePos="0" relativeHeight="251659264" behindDoc="0" locked="0" layoutInCell="1" allowOverlap="1">
            <wp:simplePos x="0" y="0"/>
            <wp:positionH relativeFrom="column">
              <wp:posOffset>993140</wp:posOffset>
            </wp:positionH>
            <wp:positionV relativeFrom="paragraph">
              <wp:posOffset>488950</wp:posOffset>
            </wp:positionV>
            <wp:extent cx="3695700" cy="2743200"/>
            <wp:effectExtent l="4445" t="4445" r="14605" b="14605"/>
            <wp:wrapNone/>
            <wp:docPr id="1" name="图表 1"/>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r>
        <w:rPr>
          <w:rFonts w:hint="eastAsia" w:ascii="仿宋_GB2312" w:eastAsia="仿宋_GB2312"/>
          <w:color w:val="auto"/>
          <w:sz w:val="32"/>
          <w:szCs w:val="32"/>
          <w:lang w:val="en-US" w:eastAsia="zh-CN"/>
        </w:rPr>
        <w:t>图2：基本支出和项目支出情况</w:t>
      </w:r>
    </w:p>
    <w:p>
      <w:pPr>
        <w:rPr>
          <w:rFonts w:ascii="Times New Roman" w:hAnsi="Times New Roman" w:eastAsia="宋体" w:cs="Droid Sans"/>
          <w:szCs w:val="24"/>
        </w:rPr>
      </w:pPr>
    </w:p>
    <w:p>
      <w:pPr>
        <w:keepNext/>
        <w:keepLines/>
        <w:spacing w:before="100" w:beforeAutospacing="1" w:after="100" w:afterAutospacing="1"/>
        <w:jc w:val="center"/>
        <w:outlineLvl w:val="1"/>
        <w:rPr>
          <w:rFonts w:ascii="Cambria" w:hAnsi="Cambria" w:eastAsia="黑体" w:cs="Times New Roman"/>
          <w:b/>
          <w:bCs/>
          <w:kern w:val="0"/>
          <w:sz w:val="36"/>
          <w:szCs w:val="32"/>
        </w:rPr>
      </w:pPr>
    </w:p>
    <w:p>
      <w:pPr>
        <w:spacing w:line="560" w:lineRule="exact"/>
        <w:ind w:firstLine="640" w:firstLineChars="200"/>
        <w:rPr>
          <w:rFonts w:hint="eastAsia" w:ascii="黑体" w:hAnsi="Times New Roman" w:eastAsia="黑体" w:cs="Droid Sans"/>
          <w:sz w:val="32"/>
          <w:szCs w:val="32"/>
        </w:rPr>
      </w:pPr>
    </w:p>
    <w:p>
      <w:pPr>
        <w:spacing w:line="560" w:lineRule="exact"/>
        <w:ind w:firstLine="640" w:firstLineChars="200"/>
        <w:rPr>
          <w:rFonts w:hint="eastAsia" w:ascii="黑体" w:hAnsi="Times New Roman" w:eastAsia="黑体" w:cs="Droid Sans"/>
          <w:sz w:val="32"/>
          <w:szCs w:val="32"/>
        </w:rPr>
      </w:pPr>
    </w:p>
    <w:p>
      <w:pPr>
        <w:spacing w:line="560" w:lineRule="exact"/>
        <w:ind w:firstLine="640" w:firstLineChars="200"/>
        <w:rPr>
          <w:rFonts w:hint="eastAsia" w:ascii="黑体" w:hAnsi="Times New Roman" w:eastAsia="黑体" w:cs="Droid Sans"/>
          <w:sz w:val="32"/>
          <w:szCs w:val="32"/>
        </w:rPr>
      </w:pPr>
    </w:p>
    <w:p>
      <w:pPr>
        <w:spacing w:line="560" w:lineRule="exact"/>
        <w:ind w:firstLine="640" w:firstLineChars="200"/>
        <w:rPr>
          <w:rFonts w:hint="eastAsia" w:ascii="黑体" w:hAnsi="Times New Roman" w:eastAsia="黑体" w:cs="Droid Sans"/>
          <w:sz w:val="32"/>
          <w:szCs w:val="32"/>
        </w:rPr>
      </w:pPr>
    </w:p>
    <w:p>
      <w:pPr>
        <w:spacing w:line="560" w:lineRule="exact"/>
        <w:ind w:firstLine="640" w:firstLineChars="200"/>
        <w:rPr>
          <w:rFonts w:hint="eastAsia" w:ascii="黑体" w:hAnsi="Times New Roman" w:eastAsia="黑体" w:cs="Droid Sans"/>
          <w:sz w:val="32"/>
          <w:szCs w:val="32"/>
        </w:rPr>
      </w:pPr>
    </w:p>
    <w:p>
      <w:pPr>
        <w:spacing w:line="560" w:lineRule="exact"/>
        <w:ind w:firstLine="640" w:firstLineChars="200"/>
        <w:rPr>
          <w:rFonts w:hint="eastAsia" w:ascii="黑体" w:hAnsi="Times New Roman" w:eastAsia="黑体" w:cs="Droid Sans"/>
          <w:sz w:val="32"/>
          <w:szCs w:val="32"/>
        </w:rPr>
      </w:pPr>
      <w:r>
        <w:rPr>
          <w:rFonts w:hint="eastAsia" w:ascii="黑体" w:hAnsi="Times New Roman" w:eastAsia="黑体" w:cs="Droid Sans"/>
          <w:sz w:val="32"/>
          <w:szCs w:val="32"/>
        </w:rPr>
        <w:t>四、财政拨款“三公”经费预算情况说明</w:t>
      </w:r>
    </w:p>
    <w:p>
      <w:pPr>
        <w:spacing w:line="560" w:lineRule="exact"/>
        <w:ind w:firstLine="640" w:firstLineChars="200"/>
        <w:rPr>
          <w:rFonts w:ascii="楷体_GB2312" w:hAnsi="Times New Roman" w:eastAsia="楷体_GB2312" w:cs="楷体_GB2312"/>
          <w:sz w:val="32"/>
          <w:szCs w:val="32"/>
        </w:rPr>
      </w:pPr>
      <w:r>
        <w:rPr>
          <w:rFonts w:hint="eastAsia" w:ascii="仿宋_GB2312" w:hAnsi="Times New Roman" w:eastAsia="仿宋_GB2312" w:cs="Times New Roman"/>
          <w:color w:val="000000"/>
          <w:sz w:val="32"/>
          <w:szCs w:val="32"/>
          <w:lang w:val="zh-CN"/>
        </w:rPr>
        <w:t>本单位2023年无财政拨款安排的“三公”经费预算。</w:t>
      </w:r>
    </w:p>
    <w:p>
      <w:pPr>
        <w:numPr>
          <w:ilvl w:val="0"/>
          <w:numId w:val="1"/>
        </w:numPr>
        <w:spacing w:line="560" w:lineRule="exact"/>
        <w:ind w:firstLine="640" w:firstLineChars="200"/>
        <w:rPr>
          <w:rFonts w:hint="eastAsia" w:ascii="黑体" w:hAnsi="Times New Roman" w:eastAsia="黑体" w:cs="Droid Sans"/>
          <w:sz w:val="32"/>
          <w:szCs w:val="32"/>
        </w:rPr>
      </w:pPr>
      <w:r>
        <w:rPr>
          <w:rFonts w:hint="eastAsia" w:ascii="黑体" w:hAnsi="Times New Roman" w:eastAsia="黑体" w:cs="Droid Sans"/>
          <w:sz w:val="32"/>
          <w:szCs w:val="32"/>
        </w:rPr>
        <w:t>其他情况说明</w:t>
      </w:r>
    </w:p>
    <w:p>
      <w:pPr>
        <w:spacing w:line="560" w:lineRule="exact"/>
        <w:ind w:firstLine="640" w:firstLineChars="200"/>
        <w:rPr>
          <w:rFonts w:hint="eastAsia" w:ascii="楷体_GB2312" w:eastAsia="楷体_GB2312"/>
          <w:color w:val="auto"/>
          <w:sz w:val="32"/>
          <w:szCs w:val="32"/>
        </w:rPr>
      </w:pPr>
      <w:r>
        <w:rPr>
          <w:rFonts w:hint="eastAsia" w:ascii="楷体_GB2312" w:eastAsia="楷体_GB2312"/>
          <w:color w:val="auto"/>
          <w:sz w:val="32"/>
          <w:szCs w:val="32"/>
        </w:rPr>
        <w:t>（一）政府采购预算说明</w:t>
      </w:r>
    </w:p>
    <w:p>
      <w:pPr>
        <w:spacing w:line="560" w:lineRule="exact"/>
        <w:ind w:left="638" w:leftChars="304" w:firstLine="0" w:firstLineChars="0"/>
        <w:rPr>
          <w:rFonts w:hint="eastAsia" w:ascii="楷体_GB2312" w:eastAsia="楷体_GB2312"/>
          <w:color w:val="auto"/>
          <w:sz w:val="32"/>
          <w:szCs w:val="32"/>
        </w:rPr>
      </w:pPr>
      <w:r>
        <w:rPr>
          <w:rFonts w:hint="eastAsia" w:ascii="仿宋_GB2312" w:eastAsia="仿宋_GB2312" w:cs="宋体"/>
          <w:kern w:val="0"/>
          <w:sz w:val="32"/>
          <w:szCs w:val="32"/>
          <w:highlight w:val="none"/>
          <w:lang w:val="zh-CN"/>
        </w:rPr>
        <w:t>本单位20</w:t>
      </w:r>
      <w:r>
        <w:rPr>
          <w:rFonts w:ascii="仿宋_GB2312" w:eastAsia="仿宋_GB2312" w:cs="宋体"/>
          <w:kern w:val="0"/>
          <w:sz w:val="32"/>
          <w:szCs w:val="32"/>
          <w:highlight w:val="none"/>
          <w:lang w:val="zh-CN"/>
        </w:rPr>
        <w:t>2</w:t>
      </w:r>
      <w:r>
        <w:rPr>
          <w:rFonts w:hint="eastAsia" w:ascii="仿宋_GB2312" w:eastAsia="仿宋_GB2312" w:cs="宋体"/>
          <w:kern w:val="0"/>
          <w:sz w:val="32"/>
          <w:szCs w:val="32"/>
          <w:highlight w:val="none"/>
          <w:lang w:val="en-US" w:eastAsia="zh-CN"/>
        </w:rPr>
        <w:t>3</w:t>
      </w:r>
      <w:r>
        <w:rPr>
          <w:rFonts w:hint="eastAsia" w:ascii="仿宋_GB2312" w:eastAsia="仿宋_GB2312" w:cs="宋体"/>
          <w:kern w:val="0"/>
          <w:sz w:val="32"/>
          <w:szCs w:val="32"/>
          <w:highlight w:val="none"/>
          <w:lang w:val="zh-CN"/>
        </w:rPr>
        <w:t>年无财政拨款安排的政府采购经费预算。</w:t>
      </w:r>
      <w:r>
        <w:rPr>
          <w:rFonts w:hint="eastAsia" w:ascii="楷体_GB2312" w:eastAsia="楷体_GB2312" w:cs="Droid Sans"/>
          <w:color w:val="auto"/>
          <w:sz w:val="32"/>
          <w:szCs w:val="32"/>
        </w:rPr>
        <w:t>（二）政府购买服务预算说明</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s="宋体"/>
          <w:kern w:val="0"/>
          <w:sz w:val="32"/>
          <w:szCs w:val="32"/>
          <w:highlight w:val="none"/>
          <w:lang w:val="zh-CN"/>
        </w:rPr>
        <w:t>本单位20</w:t>
      </w:r>
      <w:r>
        <w:rPr>
          <w:rFonts w:ascii="仿宋_GB2312" w:eastAsia="仿宋_GB2312" w:cs="宋体"/>
          <w:kern w:val="0"/>
          <w:sz w:val="32"/>
          <w:szCs w:val="32"/>
          <w:highlight w:val="none"/>
          <w:lang w:val="zh-CN"/>
        </w:rPr>
        <w:t>2</w:t>
      </w:r>
      <w:r>
        <w:rPr>
          <w:rFonts w:hint="eastAsia" w:ascii="仿宋_GB2312" w:eastAsia="仿宋_GB2312" w:cs="宋体"/>
          <w:kern w:val="0"/>
          <w:sz w:val="32"/>
          <w:szCs w:val="32"/>
          <w:highlight w:val="none"/>
          <w:lang w:val="en-US" w:eastAsia="zh-CN"/>
        </w:rPr>
        <w:t>3</w:t>
      </w:r>
      <w:r>
        <w:rPr>
          <w:rFonts w:hint="eastAsia" w:ascii="仿宋_GB2312" w:eastAsia="仿宋_GB2312" w:cs="宋体"/>
          <w:kern w:val="0"/>
          <w:sz w:val="32"/>
          <w:szCs w:val="32"/>
          <w:highlight w:val="none"/>
          <w:lang w:val="zh-CN"/>
        </w:rPr>
        <w:t>年无财政拨款安排的</w:t>
      </w:r>
      <w:r>
        <w:rPr>
          <w:rFonts w:hint="eastAsia" w:ascii="仿宋_GB2312" w:eastAsia="仿宋_GB2312"/>
          <w:sz w:val="32"/>
          <w:szCs w:val="32"/>
          <w:highlight w:val="none"/>
        </w:rPr>
        <w:t>政府购买服务预算。</w:t>
      </w:r>
    </w:p>
    <w:p>
      <w:pPr>
        <w:spacing w:line="560" w:lineRule="exact"/>
        <w:ind w:firstLine="640" w:firstLineChars="200"/>
        <w:rPr>
          <w:rFonts w:hint="eastAsia" w:ascii="楷体_GB2312" w:eastAsia="楷体_GB2312"/>
          <w:color w:val="auto"/>
          <w:sz w:val="32"/>
          <w:szCs w:val="32"/>
        </w:rPr>
      </w:pPr>
      <w:r>
        <w:rPr>
          <w:rFonts w:hint="eastAsia" w:ascii="楷体_GB2312" w:eastAsia="楷体_GB2312"/>
          <w:color w:val="auto"/>
          <w:sz w:val="32"/>
          <w:szCs w:val="32"/>
        </w:rPr>
        <w:t>（三）机关运行经费说明</w:t>
      </w:r>
    </w:p>
    <w:p>
      <w:pPr>
        <w:spacing w:line="56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lang w:eastAsia="zh-CN"/>
        </w:rPr>
        <w:t>本</w:t>
      </w:r>
      <w:r>
        <w:rPr>
          <w:rFonts w:hint="eastAsia" w:ascii="仿宋_GB2312" w:eastAsia="仿宋_GB2312"/>
          <w:color w:val="000000"/>
          <w:sz w:val="32"/>
          <w:szCs w:val="32"/>
        </w:rPr>
        <w:t>单位不在机关运行经费统计范围之内</w:t>
      </w:r>
      <w:r>
        <w:rPr>
          <w:rFonts w:hint="eastAsia" w:ascii="仿宋_GB2312" w:eastAsia="仿宋_GB2312"/>
          <w:color w:val="000000"/>
          <w:sz w:val="32"/>
          <w:szCs w:val="32"/>
          <w:lang w:eastAsia="zh-CN"/>
        </w:rPr>
        <w:t>。</w:t>
      </w:r>
    </w:p>
    <w:p>
      <w:pPr>
        <w:spacing w:line="560" w:lineRule="exact"/>
        <w:ind w:firstLine="640" w:firstLineChars="200"/>
        <w:rPr>
          <w:rFonts w:hint="eastAsia" w:ascii="楷体_GB2312" w:eastAsia="楷体_GB2312"/>
          <w:color w:val="auto"/>
          <w:sz w:val="32"/>
          <w:szCs w:val="32"/>
        </w:rPr>
      </w:pPr>
      <w:r>
        <w:rPr>
          <w:rFonts w:hint="eastAsia" w:ascii="楷体_GB2312" w:eastAsia="楷体_GB2312"/>
          <w:color w:val="auto"/>
          <w:sz w:val="32"/>
          <w:szCs w:val="32"/>
        </w:rPr>
        <w:t>（四）项目支出绩效目标情况说明</w:t>
      </w:r>
    </w:p>
    <w:p>
      <w:pPr>
        <w:spacing w:line="560" w:lineRule="exact"/>
        <w:ind w:firstLine="640" w:firstLineChars="200"/>
        <w:rPr>
          <w:rFonts w:hint="eastAsia" w:ascii="楷体_GB2312" w:eastAsia="楷体_GB2312"/>
          <w:color w:val="auto"/>
          <w:sz w:val="32"/>
          <w:szCs w:val="32"/>
        </w:rPr>
      </w:pPr>
      <w:r>
        <w:rPr>
          <w:rFonts w:hint="eastAsia" w:ascii="仿宋_GB2312" w:eastAsia="仿宋_GB2312" w:cs="Times New Roman"/>
          <w:color w:val="000000"/>
          <w:kern w:val="2"/>
          <w:sz w:val="32"/>
          <w:szCs w:val="32"/>
          <w:highlight w:val="none"/>
          <w:lang w:val="zh-CN"/>
        </w:rPr>
        <w:t>本单位202</w:t>
      </w:r>
      <w:r>
        <w:rPr>
          <w:rFonts w:hint="eastAsia" w:ascii="仿宋_GB2312" w:eastAsia="仿宋_GB2312" w:cs="Times New Roman"/>
          <w:color w:val="000000"/>
          <w:kern w:val="2"/>
          <w:sz w:val="32"/>
          <w:szCs w:val="32"/>
          <w:highlight w:val="none"/>
          <w:lang w:val="en-US" w:eastAsia="zh-CN"/>
        </w:rPr>
        <w:t>3</w:t>
      </w:r>
      <w:r>
        <w:rPr>
          <w:rFonts w:hint="eastAsia" w:ascii="仿宋_GB2312" w:eastAsia="仿宋_GB2312" w:cs="Times New Roman"/>
          <w:color w:val="000000"/>
          <w:kern w:val="2"/>
          <w:sz w:val="32"/>
          <w:szCs w:val="32"/>
          <w:highlight w:val="none"/>
          <w:lang w:val="zh-CN"/>
        </w:rPr>
        <w:t>年无</w:t>
      </w:r>
      <w:r>
        <w:rPr>
          <w:rFonts w:hint="eastAsia" w:ascii="仿宋_GB2312" w:eastAsia="仿宋_GB2312" w:cs="宋体"/>
          <w:kern w:val="0"/>
          <w:sz w:val="32"/>
          <w:szCs w:val="32"/>
          <w:highlight w:val="none"/>
          <w:lang w:val="zh-CN"/>
        </w:rPr>
        <w:t>财政拨款安排的</w:t>
      </w:r>
      <w:r>
        <w:rPr>
          <w:rFonts w:hint="eastAsia" w:ascii="仿宋_GB2312" w:eastAsia="仿宋_GB2312" w:cs="Times New Roman"/>
          <w:color w:val="000000"/>
          <w:kern w:val="2"/>
          <w:sz w:val="32"/>
          <w:szCs w:val="32"/>
          <w:highlight w:val="none"/>
          <w:lang w:val="zh-CN"/>
        </w:rPr>
        <w:t>项目支出经费预算。</w:t>
      </w:r>
    </w:p>
    <w:p>
      <w:pPr>
        <w:spacing w:line="560" w:lineRule="exact"/>
        <w:ind w:firstLine="640" w:firstLineChars="200"/>
        <w:rPr>
          <w:rFonts w:hint="eastAsia" w:ascii="楷体_GB2312" w:eastAsia="楷体_GB2312"/>
          <w:color w:val="auto"/>
          <w:sz w:val="32"/>
          <w:szCs w:val="32"/>
        </w:rPr>
      </w:pPr>
      <w:r>
        <w:rPr>
          <w:rFonts w:hint="eastAsia" w:ascii="楷体_GB2312" w:eastAsia="楷体_GB2312"/>
          <w:color w:val="auto"/>
          <w:sz w:val="32"/>
          <w:szCs w:val="32"/>
        </w:rPr>
        <w:t>（五）重点行政事业性收费情况说明</w:t>
      </w:r>
    </w:p>
    <w:p>
      <w:pPr>
        <w:spacing w:line="560" w:lineRule="exact"/>
        <w:ind w:firstLine="640" w:firstLineChars="200"/>
        <w:rPr>
          <w:rFonts w:hint="eastAsia" w:ascii="仿宋_GB2312" w:eastAsia="仿宋_GB2312" w:cs="Times New Roman"/>
          <w:color w:val="000000"/>
          <w:sz w:val="32"/>
          <w:szCs w:val="32"/>
          <w:highlight w:val="none"/>
          <w:lang w:val="zh-CN"/>
        </w:rPr>
      </w:pPr>
      <w:r>
        <w:rPr>
          <w:rFonts w:hint="eastAsia" w:ascii="仿宋_GB2312" w:eastAsia="仿宋_GB2312" w:cs="Times New Roman"/>
          <w:color w:val="000000"/>
          <w:sz w:val="32"/>
          <w:szCs w:val="32"/>
          <w:highlight w:val="none"/>
          <w:lang w:val="zh-CN"/>
        </w:rPr>
        <w:t>本单位</w:t>
      </w:r>
      <w:r>
        <w:rPr>
          <w:rFonts w:hint="eastAsia" w:ascii="仿宋_GB2312" w:eastAsia="仿宋_GB2312" w:cs="Times New Roman"/>
          <w:color w:val="000000"/>
          <w:sz w:val="32"/>
          <w:szCs w:val="32"/>
          <w:highlight w:val="none"/>
          <w:lang w:val="zh-CN" w:eastAsia="zh-CN"/>
        </w:rPr>
        <w:t>2023年</w:t>
      </w:r>
      <w:r>
        <w:rPr>
          <w:rFonts w:hint="eastAsia" w:ascii="仿宋_GB2312" w:eastAsia="仿宋_GB2312" w:cs="Times New Roman"/>
          <w:color w:val="000000"/>
          <w:sz w:val="32"/>
          <w:szCs w:val="32"/>
          <w:highlight w:val="none"/>
          <w:lang w:val="zh-CN"/>
        </w:rPr>
        <w:t>无重点行政事业性收费</w:t>
      </w:r>
      <w:r>
        <w:rPr>
          <w:rFonts w:hint="eastAsia" w:ascii="仿宋_GB2312" w:eastAsia="仿宋_GB2312" w:cs="Times New Roman"/>
          <w:color w:val="000000"/>
          <w:sz w:val="32"/>
          <w:szCs w:val="32"/>
          <w:highlight w:val="none"/>
          <w:lang w:val="zh-CN" w:eastAsia="zh-CN"/>
        </w:rPr>
        <w:t>。</w:t>
      </w:r>
    </w:p>
    <w:p>
      <w:pPr>
        <w:spacing w:line="560" w:lineRule="exact"/>
        <w:ind w:firstLine="640" w:firstLineChars="200"/>
        <w:rPr>
          <w:rFonts w:hint="eastAsia" w:ascii="楷体_GB2312" w:eastAsia="楷体_GB2312"/>
          <w:color w:val="auto"/>
          <w:sz w:val="32"/>
          <w:szCs w:val="32"/>
        </w:rPr>
      </w:pPr>
      <w:r>
        <w:rPr>
          <w:rFonts w:hint="eastAsia" w:ascii="楷体_GB2312" w:eastAsia="楷体_GB2312"/>
          <w:color w:val="auto"/>
          <w:sz w:val="32"/>
          <w:szCs w:val="32"/>
        </w:rPr>
        <w:t>（六）国有资本经营预算财政拨款情况说明</w:t>
      </w:r>
    </w:p>
    <w:p>
      <w:pPr>
        <w:spacing w:line="56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auto"/>
          <w:sz w:val="32"/>
          <w:szCs w:val="32"/>
        </w:rPr>
        <w:t>本单位</w:t>
      </w:r>
      <w:r>
        <w:rPr>
          <w:rFonts w:hint="eastAsia" w:ascii="仿宋_GB2312" w:eastAsia="仿宋_GB2312"/>
          <w:color w:val="auto"/>
          <w:sz w:val="32"/>
          <w:szCs w:val="32"/>
          <w:lang w:eastAsia="zh-CN"/>
        </w:rPr>
        <w:t>2023</w:t>
      </w:r>
      <w:r>
        <w:rPr>
          <w:rFonts w:hint="eastAsia" w:ascii="仿宋_GB2312" w:eastAsia="仿宋_GB2312"/>
          <w:color w:val="000000"/>
          <w:sz w:val="32"/>
          <w:szCs w:val="32"/>
          <w:lang w:eastAsia="zh-CN"/>
        </w:rPr>
        <w:t>年</w:t>
      </w:r>
      <w:r>
        <w:rPr>
          <w:rFonts w:hint="eastAsia" w:ascii="仿宋_GB2312" w:eastAsia="仿宋_GB2312"/>
          <w:color w:val="000000"/>
          <w:sz w:val="32"/>
          <w:szCs w:val="32"/>
        </w:rPr>
        <w:t>无国有资本经营预算财政拨款安排的预算</w:t>
      </w:r>
      <w:r>
        <w:rPr>
          <w:rFonts w:hint="eastAsia" w:ascii="仿宋_GB2312" w:eastAsia="仿宋_GB2312"/>
          <w:color w:val="000000"/>
          <w:sz w:val="32"/>
          <w:szCs w:val="32"/>
          <w:lang w:eastAsia="zh-CN"/>
        </w:rPr>
        <w:t>。</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eastAsia="zh-CN"/>
        </w:rPr>
        <w:t>本单位</w:t>
      </w:r>
      <w:r>
        <w:rPr>
          <w:rFonts w:hint="eastAsia" w:ascii="仿宋_GB2312" w:eastAsia="仿宋_GB2312"/>
          <w:color w:val="000000"/>
          <w:sz w:val="32"/>
          <w:szCs w:val="32"/>
          <w:highlight w:val="none"/>
          <w:lang w:val="en-US" w:eastAsia="zh-CN"/>
        </w:rPr>
        <w:t>2023年无财政资金国有资产占用情况。</w:t>
      </w:r>
    </w:p>
    <w:p>
      <w:pPr>
        <w:spacing w:line="560" w:lineRule="exact"/>
        <w:ind w:firstLine="640" w:firstLineChars="200"/>
        <w:rPr>
          <w:rFonts w:hint="eastAsia" w:ascii="仿宋_GB2312" w:hAnsi="Times New Roman" w:eastAsia="仿宋_GB2312" w:cs="Droid Sans"/>
          <w:color w:val="000000"/>
          <w:spacing w:val="-2"/>
          <w:sz w:val="32"/>
          <w:szCs w:val="32"/>
        </w:rPr>
      </w:pPr>
      <w:r>
        <w:rPr>
          <w:rFonts w:hint="eastAsia" w:ascii="黑体" w:hAnsi="Times New Roman" w:eastAsia="黑体" w:cs="Droid Sans"/>
          <w:color w:val="000000"/>
          <w:sz w:val="32"/>
          <w:szCs w:val="32"/>
        </w:rPr>
        <w:t>六、名词解释</w:t>
      </w:r>
    </w:p>
    <w:p>
      <w:pPr>
        <w:spacing w:line="560" w:lineRule="exact"/>
        <w:ind w:firstLine="640" w:firstLineChars="200"/>
        <w:rPr>
          <w:rFonts w:hint="eastAsia"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基本支出：指为保障机构正常运转、完成日常工作任务而发生的人员支出和公用支出。</w:t>
      </w:r>
    </w:p>
    <w:p>
      <w:pPr>
        <w:spacing w:line="560" w:lineRule="exact"/>
        <w:ind w:firstLine="640" w:firstLineChars="200"/>
        <w:rPr>
          <w:rFonts w:hint="eastAsia"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项目支出：指在基本支出之外为完成特定行政任务或事业发展目标所发生的支出。</w:t>
      </w:r>
    </w:p>
    <w:p>
      <w:pPr>
        <w:spacing w:line="560" w:lineRule="exact"/>
        <w:ind w:firstLine="640" w:firstLineChars="200"/>
        <w:rPr>
          <w:rFonts w:hint="eastAsia"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hint="eastAsia"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hint="eastAsia"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560" w:lineRule="exact"/>
        <w:jc w:val="center"/>
        <w:rPr>
          <w:rFonts w:hint="eastAsia" w:ascii="方正小标宋简体" w:hAnsi="Times New Roman" w:eastAsia="方正小标宋简体" w:cs="Droid Sans"/>
          <w:color w:val="000000"/>
          <w:sz w:val="36"/>
          <w:szCs w:val="36"/>
        </w:rPr>
      </w:pPr>
    </w:p>
    <w:p>
      <w:pPr>
        <w:keepNext/>
        <w:keepLines/>
        <w:spacing w:before="100" w:beforeAutospacing="1" w:after="100" w:afterAutospacing="1"/>
        <w:outlineLvl w:val="1"/>
        <w:rPr>
          <w:rFonts w:hint="eastAsia" w:ascii="Cambria" w:hAnsi="Cambria" w:eastAsia="黑体" w:cs="Times New Roman"/>
          <w:b/>
          <w:bCs/>
          <w:kern w:val="0"/>
          <w:sz w:val="36"/>
          <w:szCs w:val="32"/>
        </w:rPr>
      </w:pPr>
    </w:p>
    <w:p>
      <w:pPr>
        <w:spacing w:line="560" w:lineRule="exact"/>
        <w:jc w:val="center"/>
        <w:rPr>
          <w:rFonts w:hint="eastAsia" w:ascii="方正小标宋简体" w:hAnsi="Times New Roman" w:eastAsia="方正小标宋简体" w:cs="Droid Sans"/>
          <w:color w:val="000000"/>
          <w:sz w:val="36"/>
          <w:szCs w:val="36"/>
        </w:rPr>
      </w:pPr>
      <w:r>
        <w:rPr>
          <w:rFonts w:hint="eastAsia" w:ascii="方正小标宋简体" w:hAnsi="Times New Roman" w:eastAsia="方正小标宋简体" w:cs="Droid Sans"/>
          <w:color w:val="000000"/>
          <w:sz w:val="36"/>
          <w:szCs w:val="36"/>
        </w:rPr>
        <w:t>第二部分  2023年度单位预算报表</w:t>
      </w:r>
    </w:p>
    <w:p>
      <w:pPr>
        <w:autoSpaceDE w:val="0"/>
        <w:autoSpaceDN w:val="0"/>
        <w:adjustRightInd w:val="0"/>
        <w:spacing w:line="560" w:lineRule="exact"/>
        <w:jc w:val="left"/>
        <w:rPr>
          <w:rFonts w:hint="eastAsia" w:ascii="方正小标宋简体" w:hAnsi="Times New Roman" w:eastAsia="方正小标宋简体" w:cs="Droid Sans"/>
          <w:color w:val="000000"/>
          <w:sz w:val="36"/>
          <w:szCs w:val="36"/>
        </w:rPr>
      </w:pPr>
    </w:p>
    <w:p>
      <w:pPr>
        <w:spacing w:line="560" w:lineRule="exact"/>
        <w:rPr>
          <w:rFonts w:hint="eastAsia"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附件：北京职工体育服务中心2023年度单位预算报表</w:t>
      </w:r>
      <w:r>
        <w:rPr>
          <w:rFonts w:hint="eastAsia" w:ascii="仿宋_GB2312" w:hAnsi="Times New Roman" w:eastAsia="仿宋_GB2312" w:cs="宋体"/>
          <w:color w:val="000000"/>
          <w:kern w:val="0"/>
          <w:sz w:val="32"/>
          <w:szCs w:val="32"/>
          <w:lang w:val="zh-CN"/>
        </w:rPr>
        <w:t xml:space="preserve"> </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方正细黑一_GBK"/>
    <w:panose1 w:val="00000000000000000000"/>
    <w:charset w:val="86"/>
    <w:family w:val="auto"/>
    <w:pitch w:val="default"/>
    <w:sig w:usb0="00000000" w:usb1="00000000" w:usb2="00000000" w:usb3="00000000" w:csb0="00000000" w:csb1="00000000"/>
  </w:font>
  <w:font w:name="等线">
    <w:altName w:val="方正宋体S-超大字符集(SIP)"/>
    <w:panose1 w:val="00000000000000000000"/>
    <w:charset w:val="00"/>
    <w:family w:val="auto"/>
    <w:pitch w:val="default"/>
    <w:sig w:usb0="00000000" w:usb1="00000000" w:usb2="00000000" w:usb3="00000000" w:csb0="00000000" w:csb1="00000000"/>
  </w:font>
  <w:font w:name="Cambria">
    <w:altName w:val="Noto Sans Syriac Eastern"/>
    <w:panose1 w:val="02040503050406030204"/>
    <w:charset w:val="00"/>
    <w:family w:val="roman"/>
    <w:pitch w:val="default"/>
    <w:sig w:usb0="00000000" w:usb1="00000000" w:usb2="02000000" w:usb3="00000000" w:csb0="0000019F" w:csb1="00000000"/>
  </w:font>
  <w:font w:name="方正小标宋简体">
    <w:panose1 w:val="02000000000000000000"/>
    <w:charset w:val="86"/>
    <w:family w:val="auto"/>
    <w:pitch w:val="default"/>
    <w:sig w:usb0="A00002BF" w:usb1="184F6CFA" w:usb2="00000012" w:usb3="00000000" w:csb0="00040001" w:csb1="00000000"/>
  </w:font>
  <w:font w:name="Droid Sans">
    <w:altName w:val="AR PL UKai CN"/>
    <w:panose1 w:val="00000000000000000000"/>
    <w:charset w:val="00"/>
    <w:family w:val="auto"/>
    <w:pitch w:val="default"/>
    <w:sig w:usb0="00000000" w:usb1="00000000" w:usb2="00000000" w:usb3="00000000" w:csb0="00040001" w:csb1="00000000"/>
  </w:font>
  <w:font w:name="仿宋_GB2312">
    <w:altName w:val="方正仿宋_GBK"/>
    <w:panose1 w:val="00000000000000000000"/>
    <w:charset w:val="86"/>
    <w:family w:val="modern"/>
    <w:pitch w:val="default"/>
    <w:sig w:usb0="00000000" w:usb1="00000000" w:usb2="00000000" w:usb3="00000000" w:csb0="00040000" w:csb1="00000000"/>
  </w:font>
  <w:font w:name="楷体_GB2312">
    <w:altName w:val="方正楷体_GBK"/>
    <w:panose1 w:val="00000000000000000000"/>
    <w:charset w:val="86"/>
    <w:family w:val="modern"/>
    <w:pitch w:val="default"/>
    <w:sig w:usb0="00000000" w:usb1="00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仿宋_GB2312">
    <w:altName w:val="方正仿宋_GBK"/>
    <w:panose1 w:val="02010609030101010101"/>
    <w:charset w:val="00"/>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3" name="文本框 3"/>
              <wp:cNvGraphicFramePr/>
              <a:graphic xmlns:a="http://schemas.openxmlformats.org/drawingml/2006/main">
                <a:graphicData uri="http://schemas.microsoft.com/office/word/2010/wordprocessingShape">
                  <wps:wsp>
                    <wps:cNvSpPr txBox="true">
                      <a:spLocks noChangeArrowheads="true"/>
                    </wps:cNvSpPr>
                    <wps:spPr bwMode="auto">
                      <a:xfrm>
                        <a:off x="0" y="0"/>
                        <a:ext cx="445135" cy="230505"/>
                      </a:xfrm>
                      <a:prstGeom prst="rect">
                        <a:avLst/>
                      </a:prstGeom>
                      <a:noFill/>
                      <a:ln>
                        <a:noFill/>
                      </a:ln>
                    </wps:spPr>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rot="0" vert="horz" wrap="none" lIns="0" tIns="0" rIns="0" bIns="0" anchor="t" anchorCtr="false" upright="true">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FBgAAAAAAAAAAAAAAAAAAAAAAAFBLAwQKAAAAAACHTuJAAAAAAAAAAAAAAAAABAAAAGRycy9Q&#10;SwMEFAAAAAgAh07iQJvOISfRAAAAAwEAAA8AAABkcnMvZG93bnJldi54bWxNj8FOwzAQRO9I/IO1&#10;SNyoHSq1VYjTQyUu3CgIids23sYR9jqy3TT5ewwXuKw0mtHM22Y/eycmimkIrKFaKRDEXTAD9xre&#10;354fdiBSRjboApOGhRLs29ubBmsTrvxK0zH3opRwqlGDzXmspUydJY9pFUbi4p1D9JiLjL00Ea+l&#10;3Dv5qNRGehy4LFgc6WCp+zpevIbt/BFoTHSgz/PURTssO/eyaH1/V6knEJnm/BeGH/yCDm1hOoUL&#10;mySchvJI/r3F26oKxEnDerMG2TbyP3v7DVBLAwQUAAAACACHTuJAeJuSQ/UBAADBAwAADgAAAGRy&#10;cy9lMm9Eb2MueG1srVPNjhMxDL4j8Q5R7nSm7RahUaerZVdFSMuPtPAAbibzI2biyEk7Ux4A3oAT&#10;F+48V58DJ9N2C9wQl8ixnc+fPzvL66FrxU6Ta9DkcjpJpdBGYdGYKpcfP6yfvZDCeTAFtGh0Lvfa&#10;yevV0yfL3mZ6hjW2hSbBIMZlvc1l7b3NksSpWnfgJmi14WCJ1IHnK1VJQdAzetcmszR9nvRIhSVU&#10;2jn23o1BuYr4ZamVf1eWTnvR5pK5+XhSPDfhTFZLyCoCWzfqSAP+gUUHjeGiZ6g78CC21PwF1TWK&#10;0GHpJwq7BMuyUTr2wN1M0z+6eajB6tgLi+PsWSb3/2DV2917Ek2Ry7kUBjoe0eHb18P3n4cfX8Q8&#10;yNNbl3HWg+U8P7zEIZeetoEWZM7eo/rkhMHbGkylb4iwrzUUzDAm8fvkAmBEcwFq07/BgqvB1mPE&#10;GkrqAiZrIrgGD2t/HpAevFDsvLpaTOcLKRSHZvN0kS4CwwSy02NLzr/S2Ilg5JJ4/hEcdvfOj6mn&#10;lFDL4LppW/ZD1prfHIwZPJF84Dsy98Nm4OzQ0QaLPbdBOK4UfwE2aqTPUvS8Trk0vO9StK8NaxE2&#10;72TQydicDDCKH7JiUozmredbCa1jgK2lpqoZ+0L0G9Zs3cR+HqkcyfKeREWOOx0W8fIesx5/3uo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m84hJ9EAAAADAQAADwAAAAAAAAABACAAAAA4AAAAZHJz&#10;L2Rvd25yZXYueG1sUEsBAhQAFAAAAAgAh07iQHibkkP1AQAAwQMAAA4AAAAAAAAAAQAgAAAANgEA&#10;AGRycy9lMm9Eb2MueG1sUEsFBgAAAAAGAAYAWQEAAJ0FAAAAAA==&#10;">
              <v:fill on="f" focussize="0,0"/>
              <v:stroke on="f"/>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3"/>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CE4B43"/>
    <w:multiLevelType w:val="singleLevel"/>
    <w:tmpl w:val="B2CE4B43"/>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314"/>
    <w:rsid w:val="00124D0E"/>
    <w:rsid w:val="00317314"/>
    <w:rsid w:val="006E7A8A"/>
    <w:rsid w:val="0086420A"/>
    <w:rsid w:val="00D619FA"/>
    <w:rsid w:val="00F30727"/>
    <w:rsid w:val="75FD0DFD"/>
    <w:rsid w:val="7DD7AD20"/>
    <w:rsid w:val="BFFCF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6"/>
    <w:semiHidden/>
    <w:unhideWhenUsed/>
    <w:qFormat/>
    <w:uiPriority w:val="99"/>
    <w:pPr>
      <w:tabs>
        <w:tab w:val="center" w:pos="4153"/>
        <w:tab w:val="right" w:pos="8306"/>
      </w:tabs>
      <w:snapToGrid w:val="0"/>
      <w:jc w:val="left"/>
    </w:pPr>
    <w:rPr>
      <w:sz w:val="18"/>
      <w:szCs w:val="18"/>
    </w:rPr>
  </w:style>
  <w:style w:type="character" w:customStyle="1" w:styleId="6">
    <w:name w:val="页脚 字符"/>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oleObject" Target="&#22270;&#34920;%20&#22312;%20&#21171;&#21160;&#21320;&#25253;&#31038;2023&#24180;&#36130;&#25919;&#39044;&#31639;&#20449;&#24687;&#20844;&#24320;.doc"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spPr>
        <a:noFill/>
        <a:ln>
          <a:noFill/>
        </a:ln>
        <a:effectLst/>
      </c:spPr>
      <c:txPr>
        <a:bodyPr rot="0" spcFirstLastPara="1" vertOverflow="ellipsis" vert="horz" wrap="square" anchor="ctr" anchorCtr="true"/>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false"/>
    <c:plotArea>
      <c:layout/>
      <c:pieChart>
        <c:varyColors val="true"/>
        <c:ser>
          <c:idx val="0"/>
          <c:order val="0"/>
          <c:tx>
            <c:strRef>
              <c:f>Sheet1!$B$1</c:f>
              <c:strCache>
                <c:ptCount val="1"/>
                <c:pt idx="0">
                  <c:v>收入预算</c:v>
                </c:pt>
              </c:strCache>
            </c:strRef>
          </c:tx>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Pt>
            <c:idx val="2"/>
            <c:bubble3D val="false"/>
            <c:spPr>
              <a:solidFill>
                <a:schemeClr val="accent3"/>
              </a:solidFill>
              <a:ln w="19050">
                <a:solidFill>
                  <a:schemeClr val="lt1"/>
                </a:solidFill>
              </a:ln>
              <a:effectLst/>
            </c:spPr>
          </c:dPt>
          <c:dPt>
            <c:idx val="3"/>
            <c:bubble3D val="false"/>
            <c:spPr>
              <a:solidFill>
                <a:schemeClr val="accent4"/>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tru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Sheet1!$A$2:$A$5</c:f>
              <c:strCache>
                <c:ptCount val="1"/>
                <c:pt idx="0">
                  <c:v>一般公共预算拨款收入</c:v>
                </c:pt>
              </c:strCache>
            </c:strRef>
          </c:cat>
          <c:val>
            <c:numRef>
              <c:f>Sheet1!$B$2:$B$5</c:f>
              <c:numCache>
                <c:formatCode>General</c:formatCode>
                <c:ptCount val="4"/>
                <c:pt idx="0">
                  <c:v>939</c:v>
                </c:pt>
              </c:numCache>
            </c:numRef>
          </c:val>
        </c:ser>
        <c:dLbls>
          <c:showLegendKey val="false"/>
          <c:showVal val="false"/>
          <c:showCatName val="false"/>
          <c:showSerName val="false"/>
          <c:showPercent val="false"/>
          <c:showBubbleSize val="false"/>
          <c:showLeaderLines val="true"/>
        </c:dLbls>
        <c:firstSliceAng val="0"/>
      </c:pieChart>
      <c:spPr>
        <a:noFill/>
        <a:ln>
          <a:noFill/>
        </a:ln>
        <a:effectLst/>
      </c:spPr>
    </c:plotArea>
    <c:legend>
      <c:legendPos val="b"/>
      <c:layout>
        <c:manualLayout>
          <c:xMode val="edge"/>
          <c:yMode val="edge"/>
          <c:x val="0.592412907621156"/>
          <c:y val="0.193742137954149"/>
          <c:w val="0.380137041937977"/>
          <c:h val="0.0630802109488636"/>
        </c:manualLayout>
      </c:layout>
      <c:overlay val="false"/>
      <c:spPr>
        <a:noFill/>
        <a:ln>
          <a:noFill/>
        </a:ln>
        <a:effectLst/>
      </c:spPr>
      <c:txPr>
        <a:bodyPr rot="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txPr>
        <a:bodyPr rot="0" spcFirstLastPara="1" vertOverflow="ellipsis" vert="horz" wrap="square" anchor="ctr" anchorCtr="true"/>
        <a:lstStyle/>
        <a:p>
          <a:pPr>
            <a:defRPr lang="zh-CN" sz="1400" b="0" i="0" u="none" strike="noStrike" kern="1200" spc="0" baseline="0">
              <a:solidFill>
                <a:srgbClr val="595959">
                  <a:lumMod val="65000"/>
                  <a:lumOff val="35000"/>
                </a:srgbClr>
              </a:solidFill>
              <a:latin typeface="+mn-lt"/>
              <a:ea typeface="+mn-ea"/>
              <a:cs typeface="+mn-cs"/>
            </a:defRPr>
          </a:pPr>
        </a:p>
      </c:txPr>
    </c:title>
    <c:autoTitleDeleted val="false"/>
    <c:plotArea>
      <c:layout/>
      <c:pieChart>
        <c:varyColors val="true"/>
        <c:ser>
          <c:idx val="0"/>
          <c:order val="0"/>
          <c:tx>
            <c:strRef>
              <c:f>'[图表 在 劳动午报社2023年财政预算信息公开.doc]Sheet1'!$B$3</c:f>
              <c:strCache>
                <c:ptCount val="1"/>
                <c:pt idx="0">
                  <c:v>支出预算</c:v>
                </c:pt>
              </c:strCache>
            </c:strRef>
          </c:tx>
          <c:spPr>
            <a:solidFill>
              <a:srgbClr val="5B9BD5">
                <a:alpha val="100000"/>
              </a:srgbClr>
            </a:solidFill>
            <a:ln w="3175">
              <a:noFill/>
            </a:ln>
          </c:spPr>
          <c:explosion val="0"/>
          <c:dPt>
            <c:idx val="0"/>
            <c:bubble3D val="false"/>
            <c:spPr>
              <a:solidFill>
                <a:srgbClr val="5B9BD5">
                  <a:alpha val="100000"/>
                </a:srgbClr>
              </a:solidFill>
              <a:ln w="3175">
                <a:noFill/>
              </a:ln>
            </c:spPr>
          </c:dPt>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rgbClr val="000000"/>
                    </a:solidFill>
                    <a:latin typeface="+mn-lt"/>
                    <a:ea typeface="+mn-ea"/>
                    <a:cs typeface="+mn-cs"/>
                  </a:defRPr>
                </a:pPr>
              </a:p>
            </c:txPr>
            <c:dLblPos val="inEnd"/>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'[图表 在 劳动午报社2023年财政预算信息公开.doc]Sheet1'!$C$2</c:f>
              <c:strCache>
                <c:ptCount val="1"/>
                <c:pt idx="0">
                  <c:v>基本支出</c:v>
                </c:pt>
              </c:strCache>
            </c:strRef>
          </c:cat>
          <c:val>
            <c:numRef>
              <c:f>'[图表 在 劳动午报社2023年财政预算信息公开.doc]Sheet1'!$C$3</c:f>
              <c:numCache>
                <c:formatCode>General</c:formatCode>
                <c:ptCount val="1"/>
                <c:pt idx="0">
                  <c:v>74.33</c:v>
                </c:pt>
              </c:numCache>
            </c:numRef>
          </c:val>
        </c:ser>
        <c:ser>
          <c:idx val="1"/>
          <c:order val="1"/>
          <c:tx>
            <c:strRef>
              <c:f>'[图表 在 劳动午报社2023年财政预算信息公开.doc]Sheet1'!$B$4</c:f>
              <c:strCache>
                <c:ptCount val="1"/>
                <c:pt idx="0">
                  <c:v/>
                </c:pt>
              </c:strCache>
            </c:strRef>
          </c:tx>
          <c:spPr>
            <a:solidFill>
              <a:srgbClr val="ED7D31">
                <a:alpha val="100000"/>
              </a:srgbClr>
            </a:solidFill>
            <a:ln w="3175">
              <a:noFill/>
            </a:ln>
          </c:spPr>
          <c:explosion val="0"/>
          <c:dPt>
            <c:idx val="0"/>
            <c:bubble3D val="false"/>
            <c:spPr>
              <a:solidFill>
                <a:srgbClr val="ED7D31">
                  <a:alpha val="100000"/>
                </a:srgbClr>
              </a:solidFill>
              <a:ln w="3175">
                <a:noFill/>
              </a:ln>
            </c:spPr>
          </c:dPt>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rgbClr val="000000"/>
                    </a:solidFill>
                    <a:latin typeface="+mn-lt"/>
                    <a:ea typeface="+mn-ea"/>
                    <a:cs typeface="+mn-cs"/>
                  </a:defRPr>
                </a:pPr>
              </a:p>
            </c:txPr>
            <c:dLblPos val="inEnd"/>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'[图表 在 劳动午报社2023年财政预算信息公开.doc]Sheet1'!$C$2</c:f>
              <c:strCache>
                <c:ptCount val="1"/>
                <c:pt idx="0">
                  <c:v>基本支出</c:v>
                </c:pt>
              </c:strCache>
            </c:strRef>
          </c:cat>
          <c:val>
            <c:numRef>
              <c:f>'[图表 在 劳动午报社2023年财政预算信息公开.doc]Sheet1'!$C$4</c:f>
              <c:numCache>
                <c:formatCode>General</c:formatCode>
                <c:ptCount val="1"/>
              </c:numCache>
            </c:numRef>
          </c:val>
        </c:ser>
        <c:ser>
          <c:idx val="2"/>
          <c:order val="2"/>
          <c:tx>
            <c:strRef>
              <c:f>'[图表 在 劳动午报社2023年财政预算信息公开.doc]Sheet1'!$B$5</c:f>
              <c:strCache>
                <c:ptCount val="1"/>
                <c:pt idx="0">
                  <c:v/>
                </c:pt>
              </c:strCache>
            </c:strRef>
          </c:tx>
          <c:spPr>
            <a:solidFill>
              <a:srgbClr val="A5A5A5">
                <a:alpha val="100000"/>
              </a:srgbClr>
            </a:solidFill>
            <a:ln w="3175">
              <a:noFill/>
            </a:ln>
          </c:spPr>
          <c:explosion val="0"/>
          <c:dPt>
            <c:idx val="0"/>
            <c:bubble3D val="false"/>
            <c:spPr>
              <a:solidFill>
                <a:srgbClr val="A5A5A5">
                  <a:alpha val="100000"/>
                </a:srgbClr>
              </a:solidFill>
              <a:ln w="3175">
                <a:noFill/>
              </a:ln>
            </c:spPr>
          </c:dPt>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rgbClr val="000000"/>
                    </a:solidFill>
                    <a:latin typeface="+mn-lt"/>
                    <a:ea typeface="+mn-ea"/>
                    <a:cs typeface="+mn-cs"/>
                  </a:defRPr>
                </a:pPr>
              </a:p>
            </c:txPr>
            <c:dLblPos val="inEnd"/>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'[图表 在 劳动午报社2023年财政预算信息公开.doc]Sheet1'!$C$2</c:f>
              <c:strCache>
                <c:ptCount val="1"/>
                <c:pt idx="0">
                  <c:v>基本支出</c:v>
                </c:pt>
              </c:strCache>
            </c:strRef>
          </c:cat>
          <c:val>
            <c:numRef>
              <c:f>'[图表 在 劳动午报社2023年财政预算信息公开.doc]Sheet1'!$C$5</c:f>
              <c:numCache>
                <c:formatCode>General</c:formatCode>
                <c:ptCount val="1"/>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r"/>
      <c:layout/>
      <c:overlay val="false"/>
      <c:spPr>
        <a:noFill/>
        <a:ln w="3175">
          <a:noFill/>
        </a:ln>
      </c:spPr>
      <c:txPr>
        <a:bodyPr rot="0" spcFirstLastPara="1" vertOverflow="ellipsis" vert="horz" wrap="square" anchor="ctr" anchorCtr="true"/>
        <a:lstStyle/>
        <a:p>
          <a:pPr>
            <a:defRPr lang="zh-CN" sz="900" b="0" i="0" u="none" strike="noStrike" kern="1200" baseline="0">
              <a:solidFill>
                <a:srgbClr val="595959">
                  <a:lumMod val="65000"/>
                  <a:lumOff val="35000"/>
                </a:srgbClr>
              </a:solidFill>
              <a:latin typeface="+mn-lt"/>
              <a:ea typeface="+mn-ea"/>
              <a:cs typeface="+mn-cs"/>
            </a:defRPr>
          </a:pPr>
        </a:p>
      </c:txPr>
    </c:legend>
    <c:plotVisOnly val="true"/>
    <c:dispBlanksAs val="gap"/>
    <c:showDLblsOverMax val="false"/>
  </c:chart>
  <c:spPr>
    <a:solidFill>
      <a:srgbClr val="FFFFFF"/>
    </a:solidFill>
    <a:ln w="9525" cap="flat" cmpd="sng" algn="ctr">
      <a:solidFill>
        <a:srgbClr val="D9D9D9">
          <a:lumMod val="15000"/>
          <a:lumOff val="85000"/>
        </a:srgbClr>
      </a:solidFill>
      <a:prstDash val="solid"/>
      <a:round/>
    </a:ln>
    <a:effectLst/>
  </c:spPr>
  <c:txPr>
    <a:bodyPr wrap="square"/>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304</Words>
  <Characters>1734</Characters>
  <Lines>14</Lines>
  <Paragraphs>4</Paragraphs>
  <TotalTime>0</TotalTime>
  <ScaleCrop>false</ScaleCrop>
  <LinksUpToDate>false</LinksUpToDate>
  <CharactersWithSpaces>2034</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2023-02-16T23:07:00Z</dcterms:created>
  <dc:creator>曹露</dc:creator>
  <cp:lastModifiedBy>huyan</cp:lastModifiedBy>
  <dcterms:modified xsi:type="dcterms:W3CDTF">2023-03-07T16:49:11Z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