
<file path=[Content_Types].xml><?xml version="1.0" encoding="utf-8"?>
<Types xmlns="http://schemas.openxmlformats.org/package/2006/content-types">
  <Default Extension="xml" ContentType="application/xml"/>
  <Default Extension="xlsx" ContentType="application/vnd.openxmlformats-officedocument.spreadsheetml.sheet"/>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charts/colors1.xml" ContentType="application/vnd.ms-office.chartcolorstyle+xml"/>
  <Override PartName="/word/charts/colors2.xml" ContentType="application/vnd.ms-office.chartcolorstyle+xml"/>
  <Override PartName="/word/charts/style1.xml" ContentType="application/vnd.ms-office.chartstyle+xml"/>
  <Override PartName="/word/charts/style2.xml" ContentType="application/vnd.ms-office.chartstyle+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hint="eastAsia" w:ascii="方正小标宋简体" w:eastAsia="方正小标宋简体"/>
          <w:color w:val="000000"/>
          <w:sz w:val="36"/>
          <w:szCs w:val="36"/>
          <w:lang w:eastAsia="zh-CN"/>
        </w:rPr>
      </w:pPr>
      <w:r>
        <w:rPr>
          <w:rFonts w:hint="eastAsia" w:ascii="方正小标宋简体" w:eastAsia="方正小标宋简体"/>
          <w:color w:val="000000"/>
          <w:sz w:val="36"/>
          <w:szCs w:val="36"/>
        </w:rPr>
        <w:t>北京市劳动人民文化宫</w:t>
      </w:r>
      <w:r>
        <w:rPr>
          <w:rFonts w:hint="eastAsia" w:ascii="方正小标宋简体" w:eastAsia="方正小标宋简体"/>
          <w:color w:val="000000"/>
          <w:sz w:val="36"/>
          <w:szCs w:val="36"/>
          <w:lang w:val="en-US" w:eastAsia="zh-CN"/>
        </w:rPr>
        <w:t>2023</w:t>
      </w:r>
      <w:r>
        <w:rPr>
          <w:rFonts w:hint="eastAsia" w:ascii="方正小标宋简体" w:eastAsia="方正小标宋简体"/>
          <w:color w:val="000000"/>
          <w:sz w:val="36"/>
          <w:szCs w:val="36"/>
          <w:lang w:eastAsia="zh-CN"/>
        </w:rPr>
        <w:t>年</w:t>
      </w:r>
      <w:r>
        <w:rPr>
          <w:rFonts w:hint="eastAsia" w:ascii="方正小标宋简体" w:eastAsia="方正小标宋简体"/>
          <w:color w:val="000000"/>
          <w:sz w:val="36"/>
          <w:szCs w:val="36"/>
        </w:rPr>
        <w:t>财政预算信息</w:t>
      </w:r>
      <w:r>
        <w:rPr>
          <w:rFonts w:hint="eastAsia" w:ascii="方正小标宋简体" w:eastAsia="方正小标宋简体"/>
          <w:color w:val="000000"/>
          <w:sz w:val="36"/>
          <w:szCs w:val="36"/>
          <w:lang w:eastAsia="zh-CN"/>
        </w:rPr>
        <w:t>公开</w:t>
      </w:r>
    </w:p>
    <w:p>
      <w:pPr>
        <w:spacing w:line="240" w:lineRule="exact"/>
        <w:jc w:val="center"/>
        <w:rPr>
          <w:rFonts w:ascii="方正小标宋简体" w:eastAsia="方正小标宋简体"/>
          <w:color w:val="000000"/>
          <w:sz w:val="32"/>
          <w:szCs w:val="32"/>
        </w:rPr>
      </w:pPr>
    </w:p>
    <w:p>
      <w:pPr>
        <w:spacing w:line="560" w:lineRule="exact"/>
        <w:jc w:val="center"/>
        <w:rPr>
          <w:rFonts w:ascii="方正小标宋简体" w:eastAsia="方正小标宋简体"/>
          <w:color w:val="000000"/>
          <w:sz w:val="32"/>
          <w:szCs w:val="32"/>
        </w:rPr>
      </w:pPr>
      <w:r>
        <w:rPr>
          <w:rFonts w:hint="eastAsia" w:ascii="方正小标宋简体" w:eastAsia="方正小标宋简体"/>
          <w:color w:val="000000"/>
          <w:sz w:val="32"/>
          <w:szCs w:val="32"/>
        </w:rPr>
        <w:t>目   录</w:t>
      </w:r>
    </w:p>
    <w:p>
      <w:pPr>
        <w:spacing w:line="240" w:lineRule="exact"/>
        <w:jc w:val="center"/>
        <w:rPr>
          <w:rFonts w:ascii="方正小标宋简体" w:eastAsia="方正小标宋简体"/>
          <w:color w:val="000000"/>
          <w:sz w:val="32"/>
          <w:szCs w:val="32"/>
        </w:rPr>
      </w:pPr>
    </w:p>
    <w:p>
      <w:pPr>
        <w:spacing w:line="560" w:lineRule="exact"/>
        <w:rPr>
          <w:rFonts w:hint="eastAsia" w:ascii="黑体" w:hAnsi="黑体" w:eastAsia="黑体" w:cs="黑体"/>
          <w:color w:val="000000"/>
          <w:sz w:val="32"/>
          <w:szCs w:val="32"/>
        </w:rPr>
      </w:pPr>
      <w:r>
        <w:rPr>
          <w:rFonts w:hint="eastAsia" w:ascii="黑体" w:hAnsi="黑体" w:eastAsia="黑体" w:cs="黑体"/>
          <w:color w:val="000000"/>
          <w:sz w:val="32"/>
          <w:szCs w:val="32"/>
        </w:rPr>
        <w:t xml:space="preserve">第一部分 </w:t>
      </w:r>
      <w:r>
        <w:rPr>
          <w:rFonts w:hint="eastAsia" w:ascii="黑体" w:hAnsi="黑体" w:eastAsia="黑体" w:cs="黑体"/>
          <w:color w:val="000000"/>
          <w:sz w:val="32"/>
          <w:szCs w:val="32"/>
          <w:lang w:eastAsia="zh-CN"/>
        </w:rPr>
        <w:t>2023年</w:t>
      </w:r>
      <w:r>
        <w:rPr>
          <w:rFonts w:hint="eastAsia" w:ascii="黑体" w:hAnsi="黑体" w:eastAsia="黑体" w:cs="黑体"/>
          <w:color w:val="000000"/>
          <w:sz w:val="32"/>
          <w:szCs w:val="32"/>
        </w:rPr>
        <w:t>度单位预算情况说明</w:t>
      </w:r>
    </w:p>
    <w:p>
      <w:pPr>
        <w:spacing w:line="560" w:lineRule="exact"/>
        <w:ind w:firstLine="640" w:firstLineChars="200"/>
        <w:rPr>
          <w:rFonts w:hint="eastAsia" w:ascii="仿宋_GB2312" w:hAnsi="仿宋_GB2312" w:eastAsia="仿宋_GB2312" w:cs="仿宋_GB2312"/>
          <w:color w:val="000000"/>
          <w:sz w:val="32"/>
          <w:szCs w:val="32"/>
          <w:lang w:val="en"/>
        </w:rPr>
      </w:pPr>
      <w:r>
        <w:rPr>
          <w:rFonts w:hint="eastAsia" w:ascii="仿宋_GB2312" w:hAnsi="仿宋_GB2312" w:eastAsia="仿宋_GB2312" w:cs="仿宋_GB2312"/>
          <w:color w:val="000000"/>
          <w:sz w:val="32"/>
          <w:szCs w:val="32"/>
        </w:rPr>
        <w:t>一、单位情况</w:t>
      </w:r>
      <w:r>
        <w:rPr>
          <w:rFonts w:hint="eastAsia" w:ascii="仿宋_GB2312" w:hAnsi="仿宋_GB2312" w:eastAsia="仿宋_GB2312" w:cs="仿宋_GB2312"/>
          <w:color w:val="000000"/>
          <w:sz w:val="32"/>
          <w:szCs w:val="32"/>
          <w:lang w:eastAsia="zh-CN"/>
        </w:rPr>
        <w:t>说明</w:t>
      </w:r>
    </w:p>
    <w:p>
      <w:pPr>
        <w:spacing w:line="560" w:lineRule="exact"/>
        <w:ind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二、收入</w:t>
      </w:r>
      <w:r>
        <w:rPr>
          <w:rFonts w:hint="eastAsia" w:ascii="仿宋_GB2312" w:hAnsi="仿宋_GB2312" w:eastAsia="仿宋_GB2312" w:cs="仿宋_GB2312"/>
          <w:color w:val="000000"/>
          <w:sz w:val="32"/>
          <w:szCs w:val="32"/>
          <w:lang w:eastAsia="zh-CN"/>
        </w:rPr>
        <w:t>预算</w:t>
      </w:r>
      <w:r>
        <w:rPr>
          <w:rFonts w:hint="eastAsia" w:ascii="仿宋_GB2312" w:hAnsi="仿宋_GB2312" w:eastAsia="仿宋_GB2312" w:cs="仿宋_GB2312"/>
          <w:color w:val="000000"/>
          <w:sz w:val="32"/>
          <w:szCs w:val="32"/>
        </w:rPr>
        <w:t>情况</w:t>
      </w:r>
      <w:r>
        <w:rPr>
          <w:rFonts w:hint="eastAsia" w:ascii="仿宋_GB2312" w:hAnsi="仿宋_GB2312" w:eastAsia="仿宋_GB2312" w:cs="仿宋_GB2312"/>
          <w:color w:val="000000"/>
          <w:sz w:val="32"/>
          <w:szCs w:val="32"/>
          <w:lang w:eastAsia="zh-CN"/>
        </w:rPr>
        <w:t>说明</w:t>
      </w:r>
    </w:p>
    <w:p>
      <w:pPr>
        <w:spacing w:line="560" w:lineRule="exact"/>
        <w:ind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三、支出</w:t>
      </w:r>
      <w:r>
        <w:rPr>
          <w:rFonts w:hint="eastAsia" w:ascii="仿宋_GB2312" w:hAnsi="仿宋_GB2312" w:eastAsia="仿宋_GB2312" w:cs="仿宋_GB2312"/>
          <w:color w:val="000000"/>
          <w:sz w:val="32"/>
          <w:szCs w:val="32"/>
          <w:lang w:eastAsia="zh-CN"/>
        </w:rPr>
        <w:t>预算</w:t>
      </w:r>
      <w:r>
        <w:rPr>
          <w:rFonts w:hint="eastAsia" w:ascii="仿宋_GB2312" w:hAnsi="仿宋_GB2312" w:eastAsia="仿宋_GB2312" w:cs="仿宋_GB2312"/>
          <w:color w:val="000000"/>
          <w:sz w:val="32"/>
          <w:szCs w:val="32"/>
        </w:rPr>
        <w:t>情况</w:t>
      </w:r>
      <w:r>
        <w:rPr>
          <w:rFonts w:hint="eastAsia" w:ascii="仿宋_GB2312" w:hAnsi="仿宋_GB2312" w:eastAsia="仿宋_GB2312" w:cs="仿宋_GB2312"/>
          <w:color w:val="000000"/>
          <w:sz w:val="32"/>
          <w:szCs w:val="32"/>
          <w:lang w:eastAsia="zh-CN"/>
        </w:rPr>
        <w:t>说明</w:t>
      </w:r>
    </w:p>
    <w:p>
      <w:pPr>
        <w:spacing w:line="560" w:lineRule="exact"/>
        <w:ind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四、财政拨款“三公”经费预算</w:t>
      </w:r>
      <w:r>
        <w:rPr>
          <w:rFonts w:hint="eastAsia" w:ascii="仿宋_GB2312" w:hAnsi="仿宋_GB2312" w:eastAsia="仿宋_GB2312" w:cs="仿宋_GB2312"/>
          <w:color w:val="000000"/>
          <w:sz w:val="32"/>
          <w:szCs w:val="32"/>
          <w:lang w:eastAsia="zh-CN"/>
        </w:rPr>
        <w:t>情况</w:t>
      </w:r>
      <w:r>
        <w:rPr>
          <w:rFonts w:hint="eastAsia" w:ascii="仿宋_GB2312" w:hAnsi="仿宋_GB2312" w:eastAsia="仿宋_GB2312" w:cs="仿宋_GB2312"/>
          <w:color w:val="000000"/>
          <w:sz w:val="32"/>
          <w:szCs w:val="32"/>
        </w:rPr>
        <w:t>说明</w:t>
      </w:r>
    </w:p>
    <w:p>
      <w:pPr>
        <w:spacing w:line="560" w:lineRule="exact"/>
        <w:ind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五、其他情况说明</w:t>
      </w:r>
    </w:p>
    <w:p>
      <w:pPr>
        <w:spacing w:line="560" w:lineRule="exact"/>
        <w:ind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六、名词解释</w:t>
      </w:r>
    </w:p>
    <w:p>
      <w:pPr>
        <w:spacing w:line="560" w:lineRule="exact"/>
        <w:rPr>
          <w:rFonts w:hint="eastAsia" w:ascii="黑体" w:hAnsi="黑体" w:eastAsia="黑体" w:cs="黑体"/>
          <w:color w:val="000000"/>
          <w:sz w:val="32"/>
          <w:szCs w:val="32"/>
        </w:rPr>
      </w:pPr>
      <w:r>
        <w:rPr>
          <w:rFonts w:hint="eastAsia" w:ascii="黑体" w:hAnsi="黑体" w:eastAsia="黑体" w:cs="黑体"/>
          <w:color w:val="000000"/>
          <w:sz w:val="32"/>
          <w:szCs w:val="32"/>
        </w:rPr>
        <w:t xml:space="preserve">第二部分 </w:t>
      </w:r>
      <w:r>
        <w:rPr>
          <w:rFonts w:hint="eastAsia" w:ascii="黑体" w:hAnsi="黑体" w:eastAsia="黑体" w:cs="黑体"/>
          <w:color w:val="000000"/>
          <w:sz w:val="32"/>
          <w:szCs w:val="32"/>
          <w:lang w:eastAsia="zh-CN"/>
        </w:rPr>
        <w:t>2023年</w:t>
      </w:r>
      <w:r>
        <w:rPr>
          <w:rFonts w:hint="eastAsia" w:ascii="黑体" w:hAnsi="黑体" w:eastAsia="黑体" w:cs="黑体"/>
          <w:color w:val="000000"/>
          <w:sz w:val="32"/>
          <w:szCs w:val="32"/>
        </w:rPr>
        <w:t>度单位预算报表</w:t>
      </w:r>
    </w:p>
    <w:p>
      <w:pPr>
        <w:autoSpaceDE w:val="0"/>
        <w:autoSpaceDN w:val="0"/>
        <w:adjustRightInd w:val="0"/>
        <w:spacing w:line="560" w:lineRule="exact"/>
        <w:ind w:firstLine="640" w:firstLineChars="200"/>
        <w:jc w:val="left"/>
        <w:rPr>
          <w:rFonts w:hint="eastAsia" w:ascii="仿宋_GB2312" w:hAnsi="仿宋_GB2312" w:eastAsia="仿宋_GB2312" w:cs="仿宋_GB2312"/>
          <w:color w:val="000000"/>
          <w:kern w:val="0"/>
          <w:sz w:val="32"/>
          <w:szCs w:val="32"/>
          <w:lang w:val="zh-CN"/>
        </w:rPr>
      </w:pPr>
      <w:r>
        <w:rPr>
          <w:rFonts w:hint="eastAsia" w:ascii="仿宋_GB2312" w:hAnsi="仿宋_GB2312" w:eastAsia="仿宋_GB2312" w:cs="仿宋_GB2312"/>
          <w:color w:val="000000"/>
          <w:kern w:val="0"/>
          <w:sz w:val="32"/>
          <w:szCs w:val="32"/>
          <w:lang w:val="zh-CN"/>
        </w:rPr>
        <w:t>一、收支总表</w:t>
      </w:r>
    </w:p>
    <w:p>
      <w:pPr>
        <w:autoSpaceDE w:val="0"/>
        <w:autoSpaceDN w:val="0"/>
        <w:adjustRightInd w:val="0"/>
        <w:spacing w:line="560" w:lineRule="exact"/>
        <w:jc w:val="left"/>
        <w:rPr>
          <w:rFonts w:hint="eastAsia" w:ascii="仿宋_GB2312" w:hAnsi="仿宋_GB2312" w:eastAsia="仿宋_GB2312" w:cs="仿宋_GB2312"/>
          <w:color w:val="000000"/>
          <w:kern w:val="0"/>
          <w:sz w:val="32"/>
          <w:szCs w:val="32"/>
          <w:lang w:val="zh-CN"/>
        </w:rPr>
      </w:pPr>
      <w:r>
        <w:rPr>
          <w:rFonts w:hint="eastAsia" w:ascii="仿宋_GB2312" w:hAnsi="仿宋_GB2312" w:eastAsia="仿宋_GB2312" w:cs="仿宋_GB2312"/>
          <w:color w:val="000000"/>
          <w:kern w:val="0"/>
          <w:sz w:val="32"/>
          <w:szCs w:val="32"/>
          <w:lang w:val="zh-CN"/>
        </w:rPr>
        <w:t xml:space="preserve">    二、收入总表    </w:t>
      </w:r>
    </w:p>
    <w:p>
      <w:pPr>
        <w:autoSpaceDE w:val="0"/>
        <w:autoSpaceDN w:val="0"/>
        <w:adjustRightInd w:val="0"/>
        <w:spacing w:line="560" w:lineRule="exact"/>
        <w:ind w:firstLine="640"/>
        <w:jc w:val="left"/>
        <w:rPr>
          <w:rFonts w:hint="eastAsia" w:ascii="仿宋_GB2312" w:hAnsi="仿宋_GB2312" w:eastAsia="仿宋_GB2312" w:cs="仿宋_GB2312"/>
          <w:color w:val="000000"/>
          <w:kern w:val="0"/>
          <w:sz w:val="32"/>
          <w:szCs w:val="32"/>
          <w:lang w:val="zh-CN"/>
        </w:rPr>
      </w:pPr>
      <w:r>
        <w:rPr>
          <w:rFonts w:hint="eastAsia" w:ascii="仿宋_GB2312" w:hAnsi="仿宋_GB2312" w:eastAsia="仿宋_GB2312" w:cs="仿宋_GB2312"/>
          <w:color w:val="000000"/>
          <w:kern w:val="0"/>
          <w:sz w:val="32"/>
          <w:szCs w:val="32"/>
          <w:lang w:val="zh-CN"/>
        </w:rPr>
        <w:t>三、支出总表</w:t>
      </w:r>
    </w:p>
    <w:p>
      <w:pPr>
        <w:autoSpaceDE w:val="0"/>
        <w:autoSpaceDN w:val="0"/>
        <w:adjustRightInd w:val="0"/>
        <w:spacing w:line="560" w:lineRule="exact"/>
        <w:ind w:firstLine="640"/>
        <w:jc w:val="left"/>
        <w:rPr>
          <w:rFonts w:hint="eastAsia" w:ascii="仿宋_GB2312" w:hAnsi="仿宋_GB2312" w:eastAsia="仿宋_GB2312" w:cs="仿宋_GB2312"/>
          <w:color w:val="000000"/>
          <w:kern w:val="0"/>
          <w:sz w:val="32"/>
          <w:szCs w:val="32"/>
          <w:lang w:val="zh-CN"/>
        </w:rPr>
      </w:pPr>
      <w:r>
        <w:rPr>
          <w:rFonts w:hint="eastAsia" w:ascii="仿宋_GB2312" w:hAnsi="仿宋_GB2312" w:eastAsia="仿宋_GB2312" w:cs="仿宋_GB2312"/>
          <w:color w:val="000000"/>
          <w:kern w:val="0"/>
          <w:sz w:val="32"/>
          <w:szCs w:val="32"/>
          <w:lang w:val="zh-CN"/>
        </w:rPr>
        <w:t>四、项目支出表</w:t>
      </w:r>
    </w:p>
    <w:p>
      <w:pPr>
        <w:autoSpaceDE w:val="0"/>
        <w:autoSpaceDN w:val="0"/>
        <w:adjustRightInd w:val="0"/>
        <w:spacing w:line="560" w:lineRule="exact"/>
        <w:ind w:firstLine="640"/>
        <w:jc w:val="left"/>
        <w:rPr>
          <w:rFonts w:hint="eastAsia" w:ascii="仿宋_GB2312" w:hAnsi="仿宋_GB2312" w:eastAsia="仿宋_GB2312" w:cs="仿宋_GB2312"/>
          <w:color w:val="000000"/>
          <w:kern w:val="0"/>
          <w:sz w:val="32"/>
          <w:szCs w:val="32"/>
          <w:lang w:val="zh-CN"/>
        </w:rPr>
      </w:pPr>
      <w:r>
        <w:rPr>
          <w:rFonts w:hint="eastAsia" w:ascii="仿宋_GB2312" w:hAnsi="仿宋_GB2312" w:eastAsia="仿宋_GB2312" w:cs="仿宋_GB2312"/>
          <w:color w:val="000000"/>
          <w:kern w:val="0"/>
          <w:sz w:val="32"/>
          <w:szCs w:val="32"/>
          <w:lang w:val="zh-CN"/>
        </w:rPr>
        <w:t>五、政府采购预算明细表</w:t>
      </w:r>
    </w:p>
    <w:p>
      <w:pPr>
        <w:autoSpaceDE w:val="0"/>
        <w:autoSpaceDN w:val="0"/>
        <w:adjustRightInd w:val="0"/>
        <w:spacing w:line="560" w:lineRule="exact"/>
        <w:ind w:firstLine="640" w:firstLineChars="200"/>
        <w:jc w:val="left"/>
        <w:rPr>
          <w:rFonts w:hint="eastAsia" w:ascii="仿宋_GB2312" w:hAnsi="仿宋_GB2312" w:eastAsia="仿宋_GB2312" w:cs="仿宋_GB2312"/>
          <w:color w:val="000000"/>
          <w:kern w:val="0"/>
          <w:sz w:val="32"/>
          <w:szCs w:val="32"/>
          <w:lang w:val="zh-CN"/>
        </w:rPr>
      </w:pPr>
      <w:r>
        <w:rPr>
          <w:rFonts w:hint="eastAsia" w:ascii="仿宋_GB2312" w:hAnsi="仿宋_GB2312" w:eastAsia="仿宋_GB2312" w:cs="仿宋_GB2312"/>
          <w:color w:val="000000"/>
          <w:kern w:val="0"/>
          <w:sz w:val="32"/>
          <w:szCs w:val="32"/>
          <w:lang w:val="zh-CN"/>
        </w:rPr>
        <w:t>六、财政拨款收支总表</w:t>
      </w:r>
    </w:p>
    <w:p>
      <w:pPr>
        <w:autoSpaceDE w:val="0"/>
        <w:autoSpaceDN w:val="0"/>
        <w:adjustRightInd w:val="0"/>
        <w:spacing w:line="560" w:lineRule="exact"/>
        <w:jc w:val="left"/>
        <w:rPr>
          <w:rFonts w:hint="eastAsia" w:ascii="仿宋_GB2312" w:hAnsi="仿宋_GB2312" w:eastAsia="仿宋_GB2312" w:cs="仿宋_GB2312"/>
          <w:color w:val="000000"/>
          <w:kern w:val="0"/>
          <w:sz w:val="32"/>
          <w:szCs w:val="32"/>
          <w:lang w:val="zh-CN"/>
        </w:rPr>
      </w:pPr>
      <w:r>
        <w:rPr>
          <w:rFonts w:hint="eastAsia" w:ascii="仿宋_GB2312" w:hAnsi="仿宋_GB2312" w:eastAsia="仿宋_GB2312" w:cs="仿宋_GB2312"/>
          <w:color w:val="000000"/>
          <w:kern w:val="0"/>
          <w:sz w:val="32"/>
          <w:szCs w:val="32"/>
          <w:lang w:val="zh-CN"/>
        </w:rPr>
        <w:t xml:space="preserve">    七、一般公共预算财政拨款支出表</w:t>
      </w:r>
    </w:p>
    <w:p>
      <w:pPr>
        <w:autoSpaceDE w:val="0"/>
        <w:autoSpaceDN w:val="0"/>
        <w:adjustRightInd w:val="0"/>
        <w:spacing w:line="560" w:lineRule="exact"/>
        <w:jc w:val="left"/>
        <w:rPr>
          <w:rFonts w:hint="eastAsia" w:ascii="仿宋_GB2312" w:hAnsi="仿宋_GB2312" w:eastAsia="仿宋_GB2312" w:cs="仿宋_GB2312"/>
          <w:color w:val="000000"/>
          <w:spacing w:val="-16"/>
          <w:kern w:val="0"/>
          <w:sz w:val="32"/>
          <w:szCs w:val="32"/>
          <w:lang w:val="zh-CN"/>
        </w:rPr>
      </w:pPr>
      <w:r>
        <w:rPr>
          <w:rFonts w:hint="eastAsia" w:ascii="仿宋_GB2312" w:hAnsi="仿宋_GB2312" w:eastAsia="仿宋_GB2312" w:cs="仿宋_GB2312"/>
          <w:color w:val="000000"/>
          <w:kern w:val="0"/>
          <w:sz w:val="32"/>
          <w:szCs w:val="32"/>
          <w:lang w:val="zh-CN"/>
        </w:rPr>
        <w:t xml:space="preserve">    </w:t>
      </w:r>
      <w:r>
        <w:rPr>
          <w:rFonts w:hint="eastAsia" w:ascii="仿宋_GB2312" w:hAnsi="仿宋_GB2312" w:eastAsia="仿宋_GB2312" w:cs="仿宋_GB2312"/>
          <w:color w:val="000000"/>
          <w:spacing w:val="-16"/>
          <w:kern w:val="0"/>
          <w:sz w:val="32"/>
          <w:szCs w:val="32"/>
          <w:lang w:val="zh-CN"/>
        </w:rPr>
        <w:t>八、一般公共预算财政拨款基本支出表</w:t>
      </w:r>
    </w:p>
    <w:p>
      <w:pPr>
        <w:autoSpaceDE w:val="0"/>
        <w:autoSpaceDN w:val="0"/>
        <w:adjustRightInd w:val="0"/>
        <w:spacing w:line="560" w:lineRule="exact"/>
        <w:ind w:firstLine="640" w:firstLineChars="200"/>
        <w:jc w:val="left"/>
        <w:rPr>
          <w:rFonts w:hint="eastAsia" w:ascii="仿宋_GB2312" w:hAnsi="仿宋_GB2312" w:eastAsia="仿宋_GB2312" w:cs="仿宋_GB2312"/>
          <w:color w:val="000000"/>
          <w:kern w:val="0"/>
          <w:sz w:val="32"/>
          <w:szCs w:val="32"/>
          <w:lang w:val="zh-CN"/>
        </w:rPr>
      </w:pPr>
      <w:r>
        <w:rPr>
          <w:rFonts w:hint="eastAsia" w:ascii="仿宋_GB2312" w:hAnsi="仿宋_GB2312" w:eastAsia="仿宋_GB2312" w:cs="仿宋_GB2312"/>
          <w:color w:val="000000"/>
          <w:kern w:val="0"/>
          <w:sz w:val="32"/>
          <w:szCs w:val="32"/>
          <w:lang w:val="zh-CN"/>
        </w:rPr>
        <w:t>九、政府性基金预算财政拨款支出表</w:t>
      </w:r>
    </w:p>
    <w:p>
      <w:pPr>
        <w:autoSpaceDE w:val="0"/>
        <w:autoSpaceDN w:val="0"/>
        <w:adjustRightInd w:val="0"/>
        <w:spacing w:line="560" w:lineRule="exact"/>
        <w:ind w:firstLine="640" w:firstLineChars="200"/>
        <w:jc w:val="left"/>
        <w:rPr>
          <w:rFonts w:hint="eastAsia" w:ascii="仿宋_GB2312" w:hAnsi="仿宋_GB2312" w:eastAsia="仿宋_GB2312" w:cs="仿宋_GB2312"/>
          <w:color w:val="000000"/>
          <w:spacing w:val="-16"/>
          <w:kern w:val="0"/>
          <w:sz w:val="32"/>
          <w:szCs w:val="32"/>
          <w:lang w:val="zh-CN"/>
        </w:rPr>
      </w:pPr>
      <w:r>
        <w:rPr>
          <w:rFonts w:hint="eastAsia" w:ascii="仿宋_GB2312" w:hAnsi="仿宋_GB2312" w:eastAsia="仿宋_GB2312" w:cs="仿宋_GB2312"/>
          <w:color w:val="000000"/>
          <w:kern w:val="0"/>
          <w:sz w:val="32"/>
          <w:szCs w:val="32"/>
          <w:lang w:val="zh-CN"/>
        </w:rPr>
        <w:t>十、国有资本经营预算财政拨款支出表</w:t>
      </w:r>
    </w:p>
    <w:p>
      <w:pPr>
        <w:autoSpaceDE w:val="0"/>
        <w:autoSpaceDN w:val="0"/>
        <w:adjustRightInd w:val="0"/>
        <w:spacing w:line="560" w:lineRule="exact"/>
        <w:ind w:firstLine="576" w:firstLineChars="200"/>
        <w:jc w:val="left"/>
        <w:rPr>
          <w:rFonts w:hint="eastAsia" w:ascii="仿宋_GB2312" w:hAnsi="仿宋_GB2312" w:eastAsia="仿宋_GB2312" w:cs="仿宋_GB2312"/>
          <w:color w:val="000000"/>
          <w:kern w:val="0"/>
          <w:sz w:val="32"/>
          <w:szCs w:val="32"/>
          <w:lang w:val="zh-CN"/>
        </w:rPr>
      </w:pPr>
      <w:r>
        <w:rPr>
          <w:rFonts w:hint="eastAsia" w:ascii="仿宋_GB2312" w:hAnsi="仿宋_GB2312" w:eastAsia="仿宋_GB2312" w:cs="仿宋_GB2312"/>
          <w:color w:val="000000"/>
          <w:spacing w:val="-16"/>
          <w:kern w:val="0"/>
          <w:sz w:val="32"/>
          <w:szCs w:val="32"/>
          <w:lang w:val="zh-CN"/>
        </w:rPr>
        <w:t>十一、财政拨款</w:t>
      </w:r>
      <w:r>
        <w:rPr>
          <w:rFonts w:hint="eastAsia" w:ascii="仿宋_GB2312" w:hAnsi="仿宋_GB2312" w:eastAsia="仿宋_GB2312" w:cs="仿宋_GB2312"/>
          <w:color w:val="000000"/>
          <w:kern w:val="0"/>
          <w:sz w:val="32"/>
          <w:szCs w:val="32"/>
          <w:lang w:val="zh-CN"/>
        </w:rPr>
        <w:t>“三公”经费支出表</w:t>
      </w:r>
    </w:p>
    <w:p>
      <w:pPr>
        <w:autoSpaceDE w:val="0"/>
        <w:autoSpaceDN w:val="0"/>
        <w:adjustRightInd w:val="0"/>
        <w:spacing w:line="560" w:lineRule="exact"/>
        <w:ind w:firstLine="568" w:firstLineChars="200"/>
        <w:jc w:val="left"/>
        <w:rPr>
          <w:rFonts w:hint="eastAsia" w:ascii="仿宋_GB2312" w:hAnsi="仿宋_GB2312" w:eastAsia="仿宋_GB2312" w:cs="仿宋_GB2312"/>
          <w:color w:val="000000"/>
          <w:spacing w:val="-18"/>
          <w:kern w:val="0"/>
          <w:sz w:val="32"/>
          <w:szCs w:val="32"/>
          <w:lang w:val="zh-CN"/>
        </w:rPr>
      </w:pPr>
      <w:r>
        <w:rPr>
          <w:rFonts w:hint="eastAsia" w:ascii="仿宋_GB2312" w:hAnsi="仿宋_GB2312" w:eastAsia="仿宋_GB2312" w:cs="仿宋_GB2312"/>
          <w:color w:val="000000"/>
          <w:spacing w:val="-18"/>
          <w:kern w:val="0"/>
          <w:sz w:val="32"/>
          <w:szCs w:val="32"/>
          <w:lang w:val="zh-CN"/>
        </w:rPr>
        <w:t>十二、政府购买服务预算财政拨款明细表</w:t>
      </w:r>
    </w:p>
    <w:p>
      <w:pPr>
        <w:autoSpaceDE w:val="0"/>
        <w:autoSpaceDN w:val="0"/>
        <w:adjustRightInd w:val="0"/>
        <w:spacing w:line="560" w:lineRule="exact"/>
        <w:ind w:firstLine="640" w:firstLineChars="200"/>
        <w:jc w:val="left"/>
        <w:rPr>
          <w:rFonts w:hint="eastAsia" w:ascii="仿宋_GB2312" w:hAnsi="仿宋_GB2312" w:eastAsia="仿宋_GB2312" w:cs="仿宋_GB2312"/>
          <w:color w:val="000000"/>
          <w:kern w:val="0"/>
          <w:sz w:val="32"/>
          <w:szCs w:val="32"/>
          <w:lang w:val="zh-CN"/>
        </w:rPr>
      </w:pPr>
      <w:r>
        <w:rPr>
          <w:rFonts w:hint="eastAsia" w:ascii="仿宋_GB2312" w:hAnsi="仿宋_GB2312" w:eastAsia="仿宋_GB2312" w:cs="仿宋_GB2312"/>
          <w:color w:val="000000"/>
          <w:kern w:val="0"/>
          <w:sz w:val="32"/>
          <w:szCs w:val="32"/>
          <w:lang w:val="zh-CN"/>
        </w:rPr>
        <w:t>十三、项目支出绩效目标表</w:t>
      </w:r>
    </w:p>
    <w:p>
      <w:pPr>
        <w:spacing w:line="560" w:lineRule="exact"/>
        <w:jc w:val="center"/>
        <w:rPr>
          <w:rFonts w:ascii="方正小标宋简体" w:eastAsia="方正小标宋简体"/>
          <w:color w:val="000000"/>
          <w:sz w:val="36"/>
          <w:szCs w:val="36"/>
        </w:rPr>
      </w:pPr>
      <w:r>
        <w:rPr>
          <w:rFonts w:hint="eastAsia" w:ascii="方正小标宋简体" w:eastAsia="方正小标宋简体"/>
          <w:color w:val="000000"/>
          <w:sz w:val="36"/>
          <w:szCs w:val="36"/>
        </w:rPr>
        <w:t xml:space="preserve">第一部分  </w:t>
      </w:r>
      <w:r>
        <w:rPr>
          <w:rFonts w:hint="eastAsia" w:ascii="方正小标宋简体" w:eastAsia="方正小标宋简体"/>
          <w:color w:val="000000"/>
          <w:sz w:val="36"/>
          <w:szCs w:val="36"/>
          <w:lang w:eastAsia="zh-CN"/>
        </w:rPr>
        <w:t>2023年度</w:t>
      </w:r>
      <w:r>
        <w:rPr>
          <w:rFonts w:hint="eastAsia" w:ascii="方正小标宋简体" w:eastAsia="方正小标宋简体"/>
          <w:color w:val="000000"/>
          <w:sz w:val="36"/>
          <w:szCs w:val="36"/>
        </w:rPr>
        <w:t>北京市劳动人民文化宫</w:t>
      </w:r>
    </w:p>
    <w:p>
      <w:pPr>
        <w:spacing w:line="560" w:lineRule="exact"/>
        <w:jc w:val="center"/>
        <w:rPr>
          <w:rFonts w:ascii="方正小标宋简体" w:eastAsia="方正小标宋简体"/>
          <w:color w:val="000000"/>
          <w:sz w:val="32"/>
          <w:szCs w:val="32"/>
        </w:rPr>
      </w:pPr>
      <w:r>
        <w:rPr>
          <w:rFonts w:hint="eastAsia" w:ascii="方正小标宋简体" w:eastAsia="方正小标宋简体"/>
          <w:color w:val="000000"/>
          <w:sz w:val="36"/>
          <w:szCs w:val="36"/>
        </w:rPr>
        <w:t>预算情况说明</w:t>
      </w:r>
    </w:p>
    <w:p>
      <w:pPr>
        <w:spacing w:line="360" w:lineRule="auto"/>
        <w:rPr>
          <w:rFonts w:ascii="仿宋_GB2312" w:eastAsia="仿宋_GB2312"/>
          <w:color w:val="000000"/>
          <w:sz w:val="32"/>
          <w:szCs w:val="32"/>
        </w:rPr>
      </w:pP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eastAsia" w:ascii="黑体" w:hAnsi="黑体" w:eastAsia="黑体"/>
          <w:color w:val="000000"/>
          <w:sz w:val="32"/>
          <w:szCs w:val="32"/>
          <w:lang w:eastAsia="zh-CN"/>
        </w:rPr>
      </w:pPr>
      <w:r>
        <w:rPr>
          <w:rFonts w:hint="eastAsia" w:ascii="黑体" w:hAnsi="黑体" w:eastAsia="黑体"/>
          <w:color w:val="000000"/>
          <w:sz w:val="32"/>
          <w:szCs w:val="32"/>
        </w:rPr>
        <w:t>一、单位情况</w:t>
      </w:r>
      <w:r>
        <w:rPr>
          <w:rFonts w:hint="eastAsia" w:ascii="黑体" w:hAnsi="黑体" w:eastAsia="黑体"/>
          <w:color w:val="000000"/>
          <w:sz w:val="32"/>
          <w:szCs w:val="32"/>
          <w:lang w:eastAsia="zh-CN"/>
        </w:rPr>
        <w:t>说明</w:t>
      </w:r>
    </w:p>
    <w:p>
      <w:pPr>
        <w:spacing w:line="560" w:lineRule="exact"/>
        <w:ind w:firstLine="640" w:firstLineChars="200"/>
        <w:rPr>
          <w:rFonts w:hint="eastAsia" w:ascii="楷体_GB2312" w:eastAsia="楷体_GB2312"/>
          <w:color w:val="000000"/>
          <w:sz w:val="32"/>
          <w:szCs w:val="32"/>
        </w:rPr>
      </w:pPr>
      <w:r>
        <w:rPr>
          <w:rFonts w:hint="eastAsia" w:ascii="楷体_GB2312" w:eastAsia="楷体_GB2312"/>
          <w:color w:val="000000"/>
          <w:sz w:val="32"/>
          <w:szCs w:val="32"/>
        </w:rPr>
        <w:t>（一）本单位性质、职责等情况</w:t>
      </w:r>
    </w:p>
    <w:p>
      <w:pPr>
        <w:ind w:firstLine="555"/>
        <w:rPr>
          <w:rFonts w:hint="eastAsia" w:ascii="仿宋_GB2312" w:eastAsia="仿宋_GB2312"/>
          <w:sz w:val="32"/>
          <w:szCs w:val="32"/>
          <w:highlight w:val="none"/>
        </w:rPr>
      </w:pPr>
      <w:r>
        <w:rPr>
          <w:rFonts w:hint="eastAsia" w:ascii="仿宋_GB2312" w:eastAsia="仿宋_GB2312"/>
          <w:sz w:val="32"/>
          <w:szCs w:val="32"/>
          <w:highlight w:val="none"/>
        </w:rPr>
        <w:t>北京市劳动人民文化宫为市总工会所属正处级公益一类事业单位，主要职责为组织开展本市职工文化艺术交流活动，展示职工文化创意创新成果，承担太庙等国家重点文物保护工作。主要做好以下各项工作：</w:t>
      </w:r>
    </w:p>
    <w:p>
      <w:pPr>
        <w:ind w:firstLine="555"/>
        <w:rPr>
          <w:rFonts w:hint="eastAsia" w:ascii="仿宋_GB2312" w:eastAsia="仿宋_GB2312"/>
          <w:sz w:val="32"/>
          <w:szCs w:val="32"/>
          <w:highlight w:val="none"/>
        </w:rPr>
      </w:pPr>
      <w:r>
        <w:rPr>
          <w:rFonts w:hint="eastAsia" w:ascii="仿宋_GB2312" w:eastAsia="仿宋_GB2312"/>
          <w:sz w:val="32"/>
          <w:szCs w:val="32"/>
          <w:highlight w:val="none"/>
        </w:rPr>
        <w:t>1.组织开展本市职工文化艺术交流活动：组织群众文化活动，繁荣群众文化事业，组织公益性文艺演出，美术摄影展览和文体比赛；开展面向职工的科技知识、劳动技能、文艺创作等公益性培训；管理业余创作团队；组织业余文艺创作；开展群众文艺理论研究；组织文化交流团队，选送文化交流作品；为基层职工提供丰富多彩的公益性文化服务。</w:t>
      </w:r>
    </w:p>
    <w:p>
      <w:pPr>
        <w:ind w:firstLine="555"/>
        <w:rPr>
          <w:rFonts w:hint="eastAsia" w:ascii="仿宋_GB2312" w:eastAsia="仿宋_GB2312"/>
          <w:sz w:val="32"/>
          <w:szCs w:val="32"/>
          <w:highlight w:val="none"/>
        </w:rPr>
      </w:pPr>
      <w:r>
        <w:rPr>
          <w:rFonts w:hint="eastAsia" w:ascii="仿宋_GB2312" w:eastAsia="仿宋_GB2312"/>
          <w:sz w:val="32"/>
          <w:szCs w:val="32"/>
          <w:highlight w:val="none"/>
        </w:rPr>
        <w:t>2.展示职工文化创意新成果：为全市职工创意新成果及品牌展示交流活动提供服务保障；组织开展首都职工创新成果及品牌展示交流活动；联络工会组织创新成果及品牌需求；首都职工创新成果和品牌的推广和服务。</w:t>
      </w:r>
    </w:p>
    <w:p>
      <w:pPr>
        <w:ind w:firstLine="555"/>
        <w:rPr>
          <w:rFonts w:hint="eastAsia" w:ascii="仿宋_GB2312" w:eastAsia="仿宋_GB2312"/>
          <w:sz w:val="32"/>
          <w:szCs w:val="32"/>
          <w:highlight w:val="none"/>
        </w:rPr>
      </w:pPr>
      <w:r>
        <w:rPr>
          <w:rFonts w:hint="eastAsia" w:ascii="仿宋_GB2312" w:eastAsia="仿宋_GB2312"/>
          <w:sz w:val="32"/>
          <w:szCs w:val="32"/>
          <w:highlight w:val="none"/>
        </w:rPr>
        <w:t>3.承担太庙等国家重点文物保护工作：做好国家重点文物保护单位太庙文物的修缮、维护，收集太庙相关文献资料，进行太庙文化研究及图录编辑出版，文物征集、登录、保管，弘扬民族文化，开展太庙文化的展示、宣传、讲解、公共教育活动。</w:t>
      </w:r>
    </w:p>
    <w:p>
      <w:pPr>
        <w:ind w:firstLine="555"/>
        <w:rPr>
          <w:rFonts w:hint="eastAsia" w:ascii="仿宋_GB2312" w:eastAsia="仿宋_GB2312"/>
          <w:sz w:val="32"/>
          <w:szCs w:val="32"/>
          <w:highlight w:val="none"/>
        </w:rPr>
      </w:pPr>
      <w:r>
        <w:rPr>
          <w:rFonts w:hint="eastAsia" w:ascii="仿宋_GB2312" w:eastAsia="仿宋_GB2312"/>
          <w:sz w:val="32"/>
          <w:szCs w:val="32"/>
          <w:highlight w:val="none"/>
        </w:rPr>
        <w:t>4.市属公园建设维护：做好市属公园绿化，保护古树名木，进行植物养护及绿地管理；提供游客服务，维护和管理公园设施，为游客提供休闲场所，组织管理公园游览项目，科普宣传教育及相关社会服务；做好重大节庆的景观美化以及重大活动保障服务工作。</w:t>
      </w:r>
    </w:p>
    <w:p>
      <w:pPr>
        <w:pStyle w:val="3"/>
        <w:keepNext w:val="0"/>
        <w:keepLines w:val="0"/>
        <w:pageBreakBefore w:val="0"/>
        <w:widowControl w:val="0"/>
        <w:kinsoku/>
        <w:wordWrap/>
        <w:overflowPunct/>
        <w:topLinePunct w:val="0"/>
        <w:autoSpaceDE/>
        <w:autoSpaceDN/>
        <w:bidi w:val="0"/>
        <w:adjustRightInd/>
        <w:snapToGrid/>
        <w:spacing w:after="0" w:line="540" w:lineRule="exact"/>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lang w:eastAsia="zh-CN"/>
        </w:rPr>
      </w:pPr>
      <w:r>
        <w:rPr>
          <w:rFonts w:hint="eastAsia" w:ascii="楷体_GB2312" w:eastAsia="楷体_GB2312"/>
          <w:color w:val="000000"/>
          <w:sz w:val="32"/>
          <w:szCs w:val="32"/>
        </w:rPr>
        <w:t>（二）机构设置情况</w:t>
      </w:r>
    </w:p>
    <w:p>
      <w:pPr>
        <w:ind w:firstLine="555"/>
        <w:rPr>
          <w:rFonts w:hint="eastAsia" w:ascii="仿宋_GB2312" w:eastAsia="仿宋_GB2312"/>
          <w:sz w:val="32"/>
          <w:szCs w:val="32"/>
          <w:highlight w:val="none"/>
          <w:lang w:eastAsia="zh-CN"/>
        </w:rPr>
      </w:pPr>
      <w:r>
        <w:rPr>
          <w:rFonts w:hint="eastAsia" w:ascii="仿宋_GB2312" w:eastAsia="仿宋_GB2312"/>
          <w:sz w:val="32"/>
          <w:szCs w:val="32"/>
          <w:highlight w:val="none"/>
          <w:lang w:eastAsia="zh-CN"/>
        </w:rPr>
        <w:t>文化宫设内设机构22个，分别为：办公室、人力资源部、党群工作部、工会办公室、信息宣传部、财务资产部、招标办公室、应急保障办公室、安全保卫部、物业保障部、工程设备部、绿化养护队、公益服务部、文化艺术部、教育培训部、展览活动部、创新事业部、文保研究部、园艺科技部、公共事务部、虎坊桥俱乐部、五道口俱乐部。</w:t>
      </w:r>
    </w:p>
    <w:p>
      <w:pPr>
        <w:numPr>
          <w:ilvl w:val="0"/>
          <w:numId w:val="1"/>
        </w:numPr>
        <w:ind w:firstLine="555"/>
        <w:rPr>
          <w:rFonts w:hint="eastAsia" w:ascii="楷体_GB2312" w:eastAsia="楷体_GB2312"/>
          <w:color w:val="000000"/>
          <w:sz w:val="32"/>
          <w:szCs w:val="32"/>
        </w:rPr>
      </w:pPr>
      <w:r>
        <w:rPr>
          <w:rFonts w:hint="eastAsia" w:ascii="楷体_GB2312" w:eastAsia="楷体_GB2312"/>
          <w:color w:val="000000"/>
          <w:sz w:val="32"/>
          <w:szCs w:val="32"/>
        </w:rPr>
        <w:t>人员</w:t>
      </w:r>
      <w:r>
        <w:rPr>
          <w:rFonts w:hint="eastAsia" w:ascii="楷体_GB2312" w:eastAsia="楷体_GB2312"/>
          <w:color w:val="000000"/>
          <w:sz w:val="32"/>
          <w:szCs w:val="32"/>
          <w:lang w:eastAsia="zh-CN"/>
        </w:rPr>
        <w:t>编制及实有</w:t>
      </w:r>
      <w:r>
        <w:rPr>
          <w:rFonts w:hint="eastAsia" w:ascii="楷体_GB2312" w:eastAsia="楷体_GB2312"/>
          <w:color w:val="000000"/>
          <w:sz w:val="32"/>
          <w:szCs w:val="32"/>
        </w:rPr>
        <w:t>情况</w:t>
      </w:r>
    </w:p>
    <w:p>
      <w:pPr>
        <w:numPr>
          <w:ilvl w:val="0"/>
          <w:numId w:val="0"/>
        </w:numPr>
        <w:ind w:firstLine="640" w:firstLineChars="200"/>
        <w:rPr>
          <w:rFonts w:hint="eastAsia" w:ascii="仿宋_GB2312" w:eastAsia="仿宋_GB2312"/>
          <w:sz w:val="32"/>
          <w:szCs w:val="32"/>
          <w:highlight w:val="none"/>
          <w:lang w:eastAsia="zh-CN"/>
        </w:rPr>
      </w:pPr>
      <w:r>
        <w:rPr>
          <w:rFonts w:hint="eastAsia" w:ascii="仿宋_GB2312" w:eastAsia="仿宋_GB2312"/>
          <w:sz w:val="32"/>
          <w:szCs w:val="32"/>
          <w:highlight w:val="none"/>
          <w:lang w:eastAsia="zh-CN"/>
        </w:rPr>
        <w:t>北京市劳动人民文化宫核定财政补助事业编制150人，实际在编</w:t>
      </w:r>
      <w:r>
        <w:rPr>
          <w:rFonts w:hint="eastAsia" w:ascii="仿宋_GB2312" w:eastAsia="仿宋_GB2312"/>
          <w:sz w:val="32"/>
          <w:szCs w:val="32"/>
          <w:highlight w:val="none"/>
          <w:lang w:val="en-US" w:eastAsia="zh-CN"/>
        </w:rPr>
        <w:t>140</w:t>
      </w:r>
      <w:r>
        <w:rPr>
          <w:rFonts w:hint="eastAsia" w:ascii="仿宋_GB2312" w:eastAsia="仿宋_GB2312"/>
          <w:sz w:val="32"/>
          <w:szCs w:val="32"/>
          <w:highlight w:val="none"/>
          <w:lang w:eastAsia="zh-CN"/>
        </w:rPr>
        <w:t>人。</w:t>
      </w:r>
    </w:p>
    <w:p>
      <w:pPr>
        <w:ind w:firstLine="555"/>
        <w:rPr>
          <w:rFonts w:hint="eastAsia" w:ascii="仿宋_GB2312" w:hAnsi="仿宋_GB2312" w:eastAsia="仿宋_GB2312" w:cs="仿宋_GB2312"/>
          <w:color w:val="auto"/>
          <w:sz w:val="32"/>
          <w:szCs w:val="32"/>
        </w:rPr>
      </w:pPr>
      <w:r>
        <w:rPr>
          <w:rFonts w:hint="eastAsia" w:ascii="仿宋_GB2312" w:eastAsia="仿宋_GB2312"/>
          <w:sz w:val="32"/>
          <w:szCs w:val="32"/>
          <w:highlight w:val="none"/>
          <w:lang w:eastAsia="zh-CN"/>
        </w:rPr>
        <w:t>离退休人员33</w:t>
      </w:r>
      <w:r>
        <w:rPr>
          <w:rFonts w:hint="eastAsia" w:ascii="仿宋_GB2312" w:eastAsia="仿宋_GB2312"/>
          <w:sz w:val="32"/>
          <w:szCs w:val="32"/>
          <w:highlight w:val="none"/>
          <w:lang w:val="en-US" w:eastAsia="zh-CN"/>
        </w:rPr>
        <w:t>5</w:t>
      </w:r>
      <w:r>
        <w:rPr>
          <w:rFonts w:hint="eastAsia" w:ascii="仿宋_GB2312" w:eastAsia="仿宋_GB2312"/>
          <w:sz w:val="32"/>
          <w:szCs w:val="32"/>
          <w:highlight w:val="none"/>
          <w:lang w:eastAsia="zh-CN"/>
        </w:rPr>
        <w:t>人，其中：离休6人，退休32</w:t>
      </w:r>
      <w:r>
        <w:rPr>
          <w:rFonts w:hint="eastAsia" w:ascii="仿宋_GB2312" w:eastAsia="仿宋_GB2312"/>
          <w:sz w:val="32"/>
          <w:szCs w:val="32"/>
          <w:highlight w:val="none"/>
          <w:lang w:val="en-US" w:eastAsia="zh-CN"/>
        </w:rPr>
        <w:t>9</w:t>
      </w:r>
      <w:r>
        <w:rPr>
          <w:rFonts w:hint="eastAsia" w:ascii="仿宋_GB2312" w:eastAsia="仿宋_GB2312"/>
          <w:sz w:val="32"/>
          <w:szCs w:val="32"/>
          <w:highlight w:val="none"/>
          <w:lang w:eastAsia="zh-CN"/>
        </w:rPr>
        <w:t>人。</w:t>
      </w:r>
    </w:p>
    <w:p>
      <w:pPr>
        <w:keepNext w:val="0"/>
        <w:keepLines w:val="0"/>
        <w:pageBreakBefore w:val="0"/>
        <w:widowControl w:val="0"/>
        <w:numPr>
          <w:ilvl w:val="0"/>
          <w:numId w:val="2"/>
        </w:numPr>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eastAsia" w:ascii="黑体" w:hAnsi="黑体" w:eastAsia="黑体"/>
          <w:color w:val="000000"/>
          <w:sz w:val="32"/>
          <w:szCs w:val="32"/>
          <w:lang w:eastAsia="zh-CN"/>
        </w:rPr>
      </w:pPr>
      <w:r>
        <w:rPr>
          <w:rFonts w:hint="eastAsia" w:ascii="黑体" w:hAnsi="黑体" w:eastAsia="黑体"/>
          <w:color w:val="000000"/>
          <w:sz w:val="32"/>
          <w:szCs w:val="32"/>
          <w:lang w:eastAsia="zh-CN"/>
        </w:rPr>
        <w:t>收入预算情况说明</w:t>
      </w:r>
    </w:p>
    <w:p>
      <w:pPr>
        <w:ind w:firstLine="555"/>
        <w:rPr>
          <w:rFonts w:hint="default" w:ascii="仿宋_GB2312" w:eastAsia="仿宋_GB2312"/>
          <w:sz w:val="32"/>
          <w:szCs w:val="32"/>
          <w:highlight w:val="none"/>
          <w:lang w:val="en-US" w:eastAsia="zh-CN"/>
        </w:rPr>
      </w:pPr>
      <w:r>
        <w:rPr>
          <w:rFonts w:hint="eastAsia" w:ascii="仿宋_GB2312" w:eastAsia="仿宋_GB2312"/>
          <w:sz w:val="32"/>
          <w:szCs w:val="32"/>
          <w:highlight w:val="none"/>
          <w:lang w:eastAsia="zh-CN"/>
        </w:rPr>
        <w:t>202</w:t>
      </w:r>
      <w:r>
        <w:rPr>
          <w:rFonts w:hint="eastAsia" w:ascii="仿宋_GB2312" w:eastAsia="仿宋_GB2312"/>
          <w:sz w:val="32"/>
          <w:szCs w:val="32"/>
          <w:highlight w:val="none"/>
          <w:lang w:val="en-US" w:eastAsia="zh-CN"/>
        </w:rPr>
        <w:t>3</w:t>
      </w:r>
      <w:r>
        <w:rPr>
          <w:rFonts w:hint="eastAsia" w:ascii="仿宋_GB2312" w:eastAsia="仿宋_GB2312"/>
          <w:sz w:val="32"/>
          <w:szCs w:val="32"/>
          <w:highlight w:val="none"/>
          <w:lang w:eastAsia="zh-CN"/>
        </w:rPr>
        <w:t>年收入预算</w:t>
      </w:r>
      <w:r>
        <w:rPr>
          <w:rFonts w:hint="eastAsia" w:ascii="仿宋_GB2312" w:eastAsia="仿宋_GB2312"/>
          <w:sz w:val="32"/>
          <w:szCs w:val="32"/>
          <w:highlight w:val="none"/>
          <w:lang w:val="en-US" w:eastAsia="zh-CN"/>
        </w:rPr>
        <w:t>9544.62</w:t>
      </w:r>
      <w:r>
        <w:rPr>
          <w:rFonts w:hint="eastAsia" w:ascii="仿宋_GB2312" w:eastAsia="仿宋_GB2312"/>
          <w:sz w:val="32"/>
          <w:szCs w:val="32"/>
          <w:highlight w:val="none"/>
          <w:lang w:eastAsia="zh-CN"/>
        </w:rPr>
        <w:t>万元，比202</w:t>
      </w:r>
      <w:r>
        <w:rPr>
          <w:rFonts w:hint="eastAsia" w:ascii="仿宋_GB2312" w:eastAsia="仿宋_GB2312"/>
          <w:sz w:val="32"/>
          <w:szCs w:val="32"/>
          <w:highlight w:val="none"/>
          <w:lang w:val="en-US" w:eastAsia="zh-CN"/>
        </w:rPr>
        <w:t>2</w:t>
      </w:r>
      <w:r>
        <w:rPr>
          <w:rFonts w:hint="eastAsia" w:ascii="仿宋_GB2312" w:eastAsia="仿宋_GB2312"/>
          <w:sz w:val="32"/>
          <w:szCs w:val="32"/>
          <w:highlight w:val="none"/>
          <w:lang w:eastAsia="zh-CN"/>
        </w:rPr>
        <w:t>年</w:t>
      </w:r>
      <w:r>
        <w:rPr>
          <w:rFonts w:hint="eastAsia" w:ascii="仿宋_GB2312" w:eastAsia="仿宋_GB2312"/>
          <w:sz w:val="32"/>
          <w:szCs w:val="32"/>
          <w:highlight w:val="none"/>
          <w:lang w:val="en-US" w:eastAsia="zh-CN"/>
        </w:rPr>
        <w:t>6525.46</w:t>
      </w:r>
      <w:r>
        <w:rPr>
          <w:rFonts w:hint="eastAsia" w:ascii="仿宋_GB2312" w:eastAsia="仿宋_GB2312"/>
          <w:sz w:val="32"/>
          <w:szCs w:val="32"/>
          <w:highlight w:val="none"/>
          <w:lang w:eastAsia="zh-CN"/>
        </w:rPr>
        <w:t>万元增加</w:t>
      </w:r>
      <w:r>
        <w:rPr>
          <w:rFonts w:hint="eastAsia" w:ascii="仿宋_GB2312" w:eastAsia="仿宋_GB2312"/>
          <w:sz w:val="32"/>
          <w:szCs w:val="32"/>
          <w:highlight w:val="none"/>
          <w:lang w:val="en-US" w:eastAsia="zh-CN"/>
        </w:rPr>
        <w:t>3019.16</w:t>
      </w:r>
      <w:r>
        <w:rPr>
          <w:rFonts w:hint="eastAsia" w:ascii="仿宋_GB2312" w:eastAsia="仿宋_GB2312"/>
          <w:sz w:val="32"/>
          <w:szCs w:val="32"/>
          <w:highlight w:val="none"/>
          <w:lang w:eastAsia="zh-CN"/>
        </w:rPr>
        <w:t>万元，增长</w:t>
      </w:r>
      <w:r>
        <w:rPr>
          <w:rFonts w:hint="eastAsia" w:ascii="仿宋_GB2312" w:eastAsia="仿宋_GB2312"/>
          <w:sz w:val="32"/>
          <w:szCs w:val="32"/>
          <w:highlight w:val="none"/>
          <w:lang w:val="en-US" w:eastAsia="zh-CN"/>
        </w:rPr>
        <w:t>46</w:t>
      </w:r>
      <w:r>
        <w:rPr>
          <w:rFonts w:hint="eastAsia" w:ascii="仿宋_GB2312" w:eastAsia="仿宋_GB2312"/>
          <w:sz w:val="32"/>
          <w:szCs w:val="32"/>
          <w:highlight w:val="none"/>
          <w:lang w:eastAsia="zh-CN"/>
        </w:rPr>
        <w:t>%。主要原因是：</w:t>
      </w:r>
      <w:r>
        <w:rPr>
          <w:rFonts w:hint="eastAsia" w:ascii="仿宋_GB2312" w:eastAsia="仿宋_GB2312"/>
          <w:sz w:val="32"/>
          <w:szCs w:val="32"/>
          <w:highlight w:val="none"/>
          <w:lang w:val="en-US" w:eastAsia="zh-CN"/>
        </w:rPr>
        <w:t>2023年中轴线申遗项目资金较2022年项目资金有所增加。</w:t>
      </w:r>
    </w:p>
    <w:p>
      <w:pPr>
        <w:ind w:firstLine="555"/>
        <w:rPr>
          <w:rFonts w:hint="eastAsia" w:ascii="仿宋_GB2312" w:eastAsia="仿宋_GB2312"/>
          <w:sz w:val="32"/>
          <w:szCs w:val="32"/>
          <w:highlight w:val="none"/>
          <w:lang w:val="en-US" w:eastAsia="zh-CN"/>
        </w:rPr>
      </w:pPr>
      <w:r>
        <w:rPr>
          <w:rFonts w:hint="eastAsia" w:ascii="楷体_GB2312" w:eastAsia="楷体_GB2312"/>
          <w:color w:val="auto"/>
          <w:sz w:val="32"/>
          <w:szCs w:val="32"/>
          <w:lang w:val="en-US" w:eastAsia="zh-CN"/>
        </w:rPr>
        <w:t>（一）本年财政拨款收入6823.41万元</w:t>
      </w:r>
    </w:p>
    <w:p>
      <w:pPr>
        <w:ind w:firstLine="555"/>
        <w:rPr>
          <w:rFonts w:hint="eastAsia" w:ascii="仿宋_GB2312" w:eastAsia="仿宋_GB2312"/>
          <w:sz w:val="32"/>
          <w:szCs w:val="32"/>
          <w:highlight w:val="none"/>
          <w:lang w:val="en-US" w:eastAsia="zh-CN"/>
        </w:rPr>
      </w:pPr>
      <w:r>
        <w:rPr>
          <w:rFonts w:hint="eastAsia" w:ascii="仿宋_GB2312" w:eastAsia="仿宋_GB2312"/>
          <w:sz w:val="32"/>
          <w:szCs w:val="32"/>
          <w:highlight w:val="none"/>
          <w:lang w:val="en-US" w:eastAsia="zh-CN"/>
        </w:rPr>
        <w:t>1.一般公共预算拨款收入6823.41万元。</w:t>
      </w:r>
    </w:p>
    <w:p>
      <w:pPr>
        <w:ind w:firstLine="555"/>
        <w:rPr>
          <w:rFonts w:hint="eastAsia" w:ascii="仿宋_GB2312" w:eastAsia="仿宋_GB2312"/>
          <w:sz w:val="32"/>
          <w:szCs w:val="32"/>
          <w:highlight w:val="none"/>
          <w:lang w:val="en-US" w:eastAsia="zh-CN"/>
        </w:rPr>
      </w:pPr>
      <w:r>
        <w:rPr>
          <w:rFonts w:hint="eastAsia" w:ascii="仿宋_GB2312" w:eastAsia="仿宋_GB2312"/>
          <w:sz w:val="32"/>
          <w:szCs w:val="32"/>
          <w:highlight w:val="none"/>
          <w:lang w:val="en-US" w:eastAsia="zh-CN"/>
        </w:rPr>
        <w:t>2.政府性基金预算拨款收入0万元。</w:t>
      </w:r>
    </w:p>
    <w:p>
      <w:pPr>
        <w:ind w:firstLine="555"/>
        <w:rPr>
          <w:rFonts w:hint="eastAsia" w:ascii="仿宋_GB2312" w:eastAsia="仿宋_GB2312"/>
          <w:sz w:val="32"/>
          <w:szCs w:val="32"/>
          <w:highlight w:val="none"/>
          <w:lang w:val="en-US" w:eastAsia="zh-CN"/>
        </w:rPr>
      </w:pPr>
      <w:r>
        <w:rPr>
          <w:rFonts w:hint="eastAsia" w:ascii="仿宋_GB2312" w:eastAsia="仿宋_GB2312"/>
          <w:sz w:val="32"/>
          <w:szCs w:val="32"/>
          <w:highlight w:val="none"/>
          <w:lang w:val="en-US" w:eastAsia="zh-CN"/>
        </w:rPr>
        <w:t>3.国有资本经营预算拨款收入0万元。</w:t>
      </w:r>
    </w:p>
    <w:p>
      <w:pPr>
        <w:ind w:firstLine="555"/>
        <w:rPr>
          <w:rFonts w:hint="eastAsia" w:ascii="楷体_GB2312" w:eastAsia="楷体_GB2312"/>
          <w:color w:val="auto"/>
          <w:sz w:val="32"/>
          <w:szCs w:val="32"/>
          <w:lang w:val="en-US" w:eastAsia="zh-CN"/>
        </w:rPr>
      </w:pPr>
      <w:r>
        <w:rPr>
          <w:rFonts w:hint="eastAsia" w:ascii="楷体_GB2312" w:eastAsia="楷体_GB2312"/>
          <w:color w:val="auto"/>
          <w:sz w:val="32"/>
          <w:szCs w:val="32"/>
          <w:lang w:val="en-US" w:eastAsia="zh-CN"/>
        </w:rPr>
        <w:t>（二）本年其他资金收入0万元</w:t>
      </w:r>
    </w:p>
    <w:p>
      <w:pPr>
        <w:spacing w:line="560" w:lineRule="exact"/>
        <w:ind w:firstLine="640" w:firstLineChars="200"/>
        <w:rPr>
          <w:rFonts w:hint="default" w:ascii="仿宋_GB2312" w:eastAsia="仿宋_GB2312" w:cs="Droid Sans"/>
          <w:color w:val="auto"/>
          <w:sz w:val="32"/>
          <w:szCs w:val="32"/>
          <w:lang w:val="en-US" w:eastAsia="zh-CN"/>
        </w:rPr>
      </w:pPr>
      <w:r>
        <w:rPr>
          <w:rFonts w:hint="eastAsia" w:ascii="仿宋_GB2312" w:eastAsia="仿宋_GB2312" w:cs="Droid Sans"/>
          <w:color w:val="auto"/>
          <w:sz w:val="32"/>
          <w:szCs w:val="32"/>
          <w:lang w:val="en-US" w:eastAsia="zh-CN"/>
        </w:rPr>
        <w:t>4.财政专户管理资金收入0万元。</w:t>
      </w:r>
    </w:p>
    <w:p>
      <w:pPr>
        <w:spacing w:line="560" w:lineRule="exact"/>
        <w:ind w:firstLine="640" w:firstLineChars="200"/>
        <w:rPr>
          <w:rFonts w:hint="default" w:ascii="仿宋_GB2312" w:eastAsia="仿宋_GB2312" w:cs="Droid Sans"/>
          <w:color w:val="auto"/>
          <w:sz w:val="32"/>
          <w:szCs w:val="32"/>
          <w:lang w:val="en-US" w:eastAsia="zh-CN"/>
        </w:rPr>
      </w:pPr>
      <w:r>
        <w:rPr>
          <w:rFonts w:hint="eastAsia" w:ascii="仿宋_GB2312" w:eastAsia="仿宋_GB2312" w:cs="Droid Sans"/>
          <w:color w:val="auto"/>
          <w:sz w:val="32"/>
          <w:szCs w:val="32"/>
          <w:lang w:val="en-US" w:eastAsia="zh-CN"/>
        </w:rPr>
        <w:t>5.事业收入0万元。</w:t>
      </w:r>
    </w:p>
    <w:p>
      <w:pPr>
        <w:spacing w:line="560" w:lineRule="exact"/>
        <w:ind w:firstLine="640" w:firstLineChars="200"/>
        <w:rPr>
          <w:rFonts w:hint="default" w:ascii="仿宋_GB2312" w:eastAsia="仿宋_GB2312" w:cs="Droid Sans"/>
          <w:color w:val="auto"/>
          <w:sz w:val="32"/>
          <w:szCs w:val="32"/>
          <w:lang w:val="en-US" w:eastAsia="zh-CN"/>
        </w:rPr>
      </w:pPr>
      <w:r>
        <w:rPr>
          <w:rFonts w:hint="eastAsia" w:ascii="仿宋_GB2312" w:eastAsia="仿宋_GB2312" w:cs="Droid Sans"/>
          <w:color w:val="auto"/>
          <w:sz w:val="32"/>
          <w:szCs w:val="32"/>
          <w:lang w:val="en-US" w:eastAsia="zh-CN"/>
        </w:rPr>
        <w:t>6.上级补助收入0万元。</w:t>
      </w:r>
    </w:p>
    <w:p>
      <w:pPr>
        <w:numPr>
          <w:ilvl w:val="0"/>
          <w:numId w:val="0"/>
        </w:numPr>
        <w:spacing w:line="560" w:lineRule="exact"/>
        <w:ind w:firstLine="640" w:firstLineChars="200"/>
        <w:rPr>
          <w:rFonts w:hint="default" w:ascii="仿宋_GB2312" w:eastAsia="仿宋_GB2312" w:cs="Droid Sans"/>
          <w:color w:val="auto"/>
          <w:sz w:val="32"/>
          <w:szCs w:val="32"/>
          <w:lang w:val="en-US" w:eastAsia="zh-CN"/>
        </w:rPr>
      </w:pPr>
      <w:r>
        <w:rPr>
          <w:rFonts w:hint="eastAsia" w:ascii="仿宋_GB2312" w:eastAsia="仿宋_GB2312" w:cs="Droid Sans"/>
          <w:color w:val="auto"/>
          <w:sz w:val="32"/>
          <w:szCs w:val="32"/>
          <w:lang w:val="en-US" w:eastAsia="zh-CN"/>
        </w:rPr>
        <w:t>7.附属单位上缴收入0</w:t>
      </w:r>
      <w:r>
        <w:rPr>
          <w:rFonts w:hint="eastAsia" w:ascii="仿宋_GB2312" w:eastAsia="仿宋_GB2312" w:cs="Droid Sans"/>
          <w:color w:val="auto"/>
          <w:sz w:val="32"/>
          <w:szCs w:val="32"/>
        </w:rPr>
        <w:t>万元。</w:t>
      </w:r>
    </w:p>
    <w:p>
      <w:pPr>
        <w:numPr>
          <w:ilvl w:val="0"/>
          <w:numId w:val="0"/>
        </w:numPr>
        <w:spacing w:line="560" w:lineRule="exact"/>
        <w:ind w:firstLine="640" w:firstLineChars="200"/>
        <w:rPr>
          <w:rFonts w:hint="default" w:ascii="仿宋_GB2312" w:eastAsia="仿宋_GB2312" w:cs="Droid Sans"/>
          <w:color w:val="auto"/>
          <w:sz w:val="32"/>
          <w:szCs w:val="32"/>
          <w:lang w:val="en-US" w:eastAsia="zh-CN"/>
        </w:rPr>
      </w:pPr>
      <w:r>
        <w:rPr>
          <w:rFonts w:hint="eastAsia" w:ascii="仿宋_GB2312" w:eastAsia="仿宋_GB2312" w:cs="Droid Sans"/>
          <w:color w:val="auto"/>
          <w:sz w:val="32"/>
          <w:szCs w:val="32"/>
          <w:lang w:val="en-US" w:eastAsia="zh-CN"/>
        </w:rPr>
        <w:t>8.事业单位经营收入0</w:t>
      </w:r>
      <w:r>
        <w:rPr>
          <w:rFonts w:hint="eastAsia" w:ascii="仿宋_GB2312" w:eastAsia="仿宋_GB2312" w:cs="Droid Sans"/>
          <w:color w:val="auto"/>
          <w:sz w:val="32"/>
          <w:szCs w:val="32"/>
        </w:rPr>
        <w:t>万元。</w:t>
      </w:r>
    </w:p>
    <w:p>
      <w:pPr>
        <w:numPr>
          <w:ilvl w:val="0"/>
          <w:numId w:val="0"/>
        </w:numPr>
        <w:spacing w:line="560" w:lineRule="exact"/>
        <w:ind w:firstLine="640" w:firstLineChars="200"/>
        <w:rPr>
          <w:rFonts w:hint="eastAsia" w:ascii="仿宋_GB2312" w:eastAsia="仿宋_GB2312" w:cs="Droid Sans"/>
          <w:color w:val="auto"/>
          <w:sz w:val="32"/>
          <w:szCs w:val="32"/>
        </w:rPr>
      </w:pPr>
      <w:r>
        <w:rPr>
          <w:rFonts w:hint="eastAsia" w:ascii="仿宋_GB2312" w:eastAsia="仿宋_GB2312" w:cs="Droid Sans"/>
          <w:color w:val="auto"/>
          <w:sz w:val="32"/>
          <w:szCs w:val="32"/>
          <w:lang w:val="en-US" w:eastAsia="zh-CN"/>
        </w:rPr>
        <w:t>9.其他收入0</w:t>
      </w:r>
      <w:r>
        <w:rPr>
          <w:rFonts w:hint="eastAsia" w:ascii="仿宋_GB2312" w:eastAsia="仿宋_GB2312" w:cs="Droid Sans"/>
          <w:color w:val="auto"/>
          <w:sz w:val="32"/>
          <w:szCs w:val="32"/>
        </w:rPr>
        <w:t>万元。</w:t>
      </w:r>
    </w:p>
    <w:p>
      <w:pPr>
        <w:ind w:firstLine="555"/>
        <w:rPr>
          <w:rFonts w:hint="eastAsia" w:ascii="楷体_GB2312" w:eastAsia="楷体_GB2312"/>
          <w:color w:val="auto"/>
          <w:sz w:val="32"/>
          <w:szCs w:val="32"/>
          <w:lang w:val="en-US" w:eastAsia="zh-CN"/>
        </w:rPr>
      </w:pPr>
      <w:r>
        <w:rPr>
          <w:rFonts w:hint="eastAsia" w:ascii="楷体_GB2312" w:eastAsia="楷体_GB2312"/>
          <w:color w:val="auto"/>
          <w:sz w:val="32"/>
          <w:szCs w:val="32"/>
          <w:lang w:val="en-US" w:eastAsia="zh-CN"/>
        </w:rPr>
        <w:t>（三）上年结转结余2721.21万元</w:t>
      </w:r>
    </w:p>
    <w:p>
      <w:pPr>
        <w:spacing w:line="560" w:lineRule="exact"/>
        <w:ind w:firstLine="640" w:firstLineChars="200"/>
        <w:rPr>
          <w:rFonts w:hint="eastAsia" w:ascii="仿宋_GB2312" w:eastAsia="仿宋_GB2312" w:cs="Droid Sans"/>
          <w:color w:val="auto"/>
          <w:sz w:val="32"/>
          <w:szCs w:val="32"/>
        </w:rPr>
      </w:pPr>
      <w:r>
        <w:rPr>
          <w:rFonts w:hint="eastAsia" w:ascii="仿宋_GB2312" w:eastAsia="仿宋_GB2312" w:cs="Droid Sans"/>
          <w:color w:val="auto"/>
          <w:sz w:val="32"/>
          <w:szCs w:val="32"/>
          <w:lang w:val="en-US" w:eastAsia="zh-CN"/>
        </w:rPr>
        <w:t>10.上年结转结余2721.21</w:t>
      </w:r>
      <w:r>
        <w:rPr>
          <w:rFonts w:hint="eastAsia" w:ascii="仿宋_GB2312" w:eastAsia="仿宋_GB2312" w:cs="Droid Sans"/>
          <w:color w:val="auto"/>
          <w:sz w:val="32"/>
          <w:szCs w:val="32"/>
        </w:rPr>
        <w:t>万元。</w:t>
      </w:r>
    </w:p>
    <w:p>
      <w:pPr>
        <w:tabs>
          <w:tab w:val="left" w:pos="673"/>
        </w:tabs>
        <w:bidi w:val="0"/>
        <w:ind w:firstLine="1050" w:firstLineChars="500"/>
        <w:jc w:val="left"/>
        <w:rPr>
          <w:rFonts w:hint="eastAsia" w:ascii="仿宋_GB2312" w:eastAsia="仿宋_GB2312"/>
          <w:b w:val="0"/>
          <w:bCs w:val="0"/>
          <w:color w:val="auto"/>
          <w:sz w:val="32"/>
          <w:szCs w:val="32"/>
          <w:lang w:val="en-US" w:eastAsia="zh-CN"/>
        </w:rPr>
      </w:pPr>
      <w:r>
        <w:rPr>
          <w:rFonts w:hint="eastAsia" w:cs="Droid Sans"/>
          <w:kern w:val="2"/>
          <w:sz w:val="21"/>
          <w:szCs w:val="24"/>
          <w:lang w:val="en-US" w:eastAsia="zh-CN" w:bidi="ar-SA"/>
        </w:rPr>
        <w:tab/>
        <w:t xml:space="preserve">                </w:t>
      </w:r>
      <w:r>
        <w:rPr>
          <w:rFonts w:hint="eastAsia" w:ascii="仿宋_GB2312" w:hAnsi="Cambria" w:eastAsia="仿宋_GB2312" w:cs="Times New Roman"/>
          <w:b/>
          <w:bCs/>
          <w:color w:val="auto"/>
          <w:kern w:val="0"/>
          <w:sz w:val="32"/>
          <w:szCs w:val="32"/>
          <w:lang w:val="en-US" w:eastAsia="zh-CN" w:bidi="ar-SA"/>
        </w:rPr>
        <w:t>图1：收入预算</w:t>
      </w:r>
    </w:p>
    <w:p>
      <w:pPr>
        <w:pStyle w:val="3"/>
        <w:numPr>
          <w:ilvl w:val="0"/>
          <w:numId w:val="0"/>
        </w:numPr>
        <w:ind w:firstLine="640" w:firstLineChars="200"/>
        <w:rPr>
          <w:rFonts w:hint="default" w:ascii="仿宋_GB2312" w:eastAsia="仿宋_GB2312" w:cs="Droid Sans"/>
          <w:color w:val="auto"/>
          <w:sz w:val="32"/>
          <w:szCs w:val="32"/>
          <w:lang w:val="en-US" w:eastAsia="zh-CN"/>
        </w:rPr>
      </w:pPr>
      <w:r>
        <w:rPr>
          <w:rFonts w:hint="default" w:ascii="仿宋_GB2312" w:eastAsia="仿宋_GB2312" w:cs="Droid Sans"/>
          <w:color w:val="auto"/>
          <w:sz w:val="32"/>
          <w:szCs w:val="32"/>
          <w:lang w:val="en-US" w:eastAsia="zh-CN"/>
        </w:rPr>
        <w:drawing>
          <wp:inline distT="0" distB="0" distL="114300" distR="114300">
            <wp:extent cx="4271645" cy="3190875"/>
            <wp:effectExtent l="4445" t="5080" r="10160" b="4445"/>
            <wp:docPr id="1" name="图表 1" descr="7b0a202020202263686172745265734964223a20223230343730393037220a7d0a"/>
            <wp:cNvGraphicFramePr/>
            <a:graphic xmlns:a="http://schemas.openxmlformats.org/drawingml/2006/main">
              <a:graphicData uri="http://schemas.openxmlformats.org/drawingml/2006/chart">
                <c:chart xmlns:c="http://schemas.openxmlformats.org/drawingml/2006/chart" xmlns:r="http://schemas.openxmlformats.org/officeDocument/2006/relationships" r:id="rId5"/>
              </a:graphicData>
            </a:graphic>
          </wp:inline>
        </w:drawing>
      </w:r>
    </w:p>
    <w:p>
      <w:pPr>
        <w:spacing w:line="560" w:lineRule="exact"/>
        <w:ind w:firstLine="640" w:firstLineChars="200"/>
        <w:rPr>
          <w:rFonts w:hint="eastAsia" w:ascii="黑体" w:eastAsia="黑体" w:cs="Droid Sans"/>
          <w:color w:val="auto"/>
          <w:sz w:val="32"/>
          <w:szCs w:val="32"/>
        </w:rPr>
      </w:pPr>
      <w:r>
        <w:rPr>
          <w:rFonts w:hint="eastAsia" w:ascii="黑体" w:eastAsia="黑体" w:cs="Droid Sans"/>
          <w:color w:val="auto"/>
          <w:sz w:val="32"/>
          <w:szCs w:val="32"/>
          <w:lang w:eastAsia="zh-CN"/>
        </w:rPr>
        <w:t>三、</w:t>
      </w:r>
      <w:r>
        <w:rPr>
          <w:rFonts w:hint="eastAsia" w:ascii="黑体" w:eastAsia="黑体" w:cs="Droid Sans"/>
          <w:color w:val="auto"/>
          <w:sz w:val="32"/>
          <w:szCs w:val="32"/>
        </w:rPr>
        <w:t>支出</w:t>
      </w:r>
      <w:r>
        <w:rPr>
          <w:rFonts w:hint="eastAsia" w:ascii="黑体" w:eastAsia="黑体" w:cs="Droid Sans"/>
          <w:color w:val="auto"/>
          <w:sz w:val="32"/>
          <w:szCs w:val="32"/>
          <w:lang w:eastAsia="zh-CN"/>
        </w:rPr>
        <w:t>预算</w:t>
      </w:r>
      <w:r>
        <w:rPr>
          <w:rFonts w:hint="eastAsia" w:ascii="黑体" w:eastAsia="黑体" w:cs="Droid Sans"/>
          <w:color w:val="auto"/>
          <w:sz w:val="32"/>
          <w:szCs w:val="32"/>
        </w:rPr>
        <w:t>情况说明</w:t>
      </w:r>
    </w:p>
    <w:p>
      <w:pPr>
        <w:spacing w:line="560" w:lineRule="exact"/>
        <w:ind w:firstLine="640" w:firstLineChars="200"/>
        <w:rPr>
          <w:rFonts w:hint="eastAsia"/>
        </w:rPr>
      </w:pPr>
      <w:r>
        <w:rPr>
          <w:rFonts w:hint="eastAsia" w:ascii="仿宋_GB2312" w:eastAsia="仿宋_GB2312"/>
          <w:color w:val="auto"/>
          <w:sz w:val="32"/>
          <w:szCs w:val="32"/>
          <w:lang w:eastAsia="zh-CN"/>
        </w:rPr>
        <w:t>2023年</w:t>
      </w:r>
      <w:r>
        <w:rPr>
          <w:rFonts w:hint="eastAsia" w:ascii="仿宋_GB2312" w:eastAsia="仿宋_GB2312"/>
          <w:color w:val="auto"/>
          <w:sz w:val="32"/>
          <w:szCs w:val="32"/>
        </w:rPr>
        <w:t>支出预算</w:t>
      </w:r>
      <w:r>
        <w:rPr>
          <w:rFonts w:hint="eastAsia" w:ascii="仿宋_GB2312" w:eastAsia="仿宋_GB2312"/>
          <w:color w:val="auto"/>
          <w:sz w:val="32"/>
          <w:szCs w:val="32"/>
          <w:lang w:val="en-US" w:eastAsia="zh-CN"/>
        </w:rPr>
        <w:t>9544.62</w:t>
      </w:r>
      <w:r>
        <w:rPr>
          <w:rFonts w:hint="eastAsia" w:ascii="仿宋_GB2312" w:eastAsia="仿宋_GB2312"/>
          <w:color w:val="auto"/>
          <w:sz w:val="32"/>
          <w:szCs w:val="32"/>
        </w:rPr>
        <w:t>万元，比</w:t>
      </w:r>
      <w:r>
        <w:rPr>
          <w:rFonts w:hint="eastAsia" w:ascii="仿宋_GB2312" w:eastAsia="仿宋_GB2312"/>
          <w:color w:val="auto"/>
          <w:sz w:val="32"/>
          <w:szCs w:val="32"/>
          <w:lang w:eastAsia="zh-CN"/>
        </w:rPr>
        <w:t>2022年年初预算数</w:t>
      </w:r>
      <w:r>
        <w:rPr>
          <w:rFonts w:hint="eastAsia" w:ascii="仿宋_GB2312" w:eastAsia="仿宋_GB2312"/>
          <w:sz w:val="32"/>
          <w:szCs w:val="32"/>
          <w:highlight w:val="none"/>
          <w:lang w:val="en-US" w:eastAsia="zh-CN"/>
        </w:rPr>
        <w:t>6525.46</w:t>
      </w:r>
      <w:r>
        <w:rPr>
          <w:rFonts w:hint="eastAsia" w:ascii="仿宋_GB2312" w:eastAsia="仿宋_GB2312"/>
          <w:sz w:val="32"/>
          <w:szCs w:val="32"/>
          <w:highlight w:val="none"/>
          <w:lang w:eastAsia="zh-CN"/>
        </w:rPr>
        <w:t>万元增加</w:t>
      </w:r>
      <w:r>
        <w:rPr>
          <w:rFonts w:hint="eastAsia" w:ascii="仿宋_GB2312" w:eastAsia="仿宋_GB2312"/>
          <w:sz w:val="32"/>
          <w:szCs w:val="32"/>
          <w:highlight w:val="none"/>
          <w:lang w:val="en-US" w:eastAsia="zh-CN"/>
        </w:rPr>
        <w:t>3019.16</w:t>
      </w:r>
      <w:r>
        <w:rPr>
          <w:rFonts w:hint="eastAsia" w:ascii="仿宋_GB2312" w:eastAsia="仿宋_GB2312"/>
          <w:sz w:val="32"/>
          <w:szCs w:val="32"/>
          <w:highlight w:val="none"/>
          <w:lang w:eastAsia="zh-CN"/>
        </w:rPr>
        <w:t>万元，增长</w:t>
      </w:r>
      <w:r>
        <w:rPr>
          <w:rFonts w:hint="eastAsia" w:ascii="仿宋_GB2312" w:eastAsia="仿宋_GB2312"/>
          <w:sz w:val="32"/>
          <w:szCs w:val="32"/>
          <w:highlight w:val="none"/>
          <w:lang w:val="en-US" w:eastAsia="zh-CN"/>
        </w:rPr>
        <w:t>46</w:t>
      </w:r>
      <w:r>
        <w:rPr>
          <w:rFonts w:hint="eastAsia" w:ascii="仿宋_GB2312" w:eastAsia="仿宋_GB2312"/>
          <w:sz w:val="32"/>
          <w:szCs w:val="32"/>
          <w:highlight w:val="none"/>
          <w:lang w:eastAsia="zh-CN"/>
        </w:rPr>
        <w:t>%</w:t>
      </w:r>
      <w:r>
        <w:rPr>
          <w:rFonts w:hint="eastAsia" w:ascii="仿宋_GB2312" w:eastAsia="仿宋_GB2312"/>
          <w:color w:val="auto"/>
          <w:sz w:val="32"/>
          <w:szCs w:val="32"/>
        </w:rPr>
        <w:t>。</w:t>
      </w:r>
      <w:r>
        <w:rPr>
          <w:rFonts w:hint="eastAsia" w:ascii="仿宋_GB2312" w:eastAsia="仿宋_GB2312"/>
          <w:color w:val="auto"/>
          <w:sz w:val="32"/>
          <w:szCs w:val="32"/>
          <w:lang w:eastAsia="zh-CN"/>
        </w:rPr>
        <w:t>主要原因是：</w:t>
      </w:r>
      <w:r>
        <w:rPr>
          <w:rFonts w:hint="eastAsia" w:ascii="仿宋_GB2312" w:eastAsia="仿宋_GB2312"/>
          <w:sz w:val="32"/>
          <w:szCs w:val="32"/>
          <w:highlight w:val="none"/>
          <w:lang w:val="en-US" w:eastAsia="zh-CN"/>
        </w:rPr>
        <w:t>2023年中轴线申遗项目资金较2022年项目资金有所增加。</w:t>
      </w:r>
    </w:p>
    <w:p>
      <w:pPr>
        <w:spacing w:line="560" w:lineRule="exact"/>
        <w:ind w:firstLine="640"/>
        <w:rPr>
          <w:rFonts w:hint="eastAsia" w:ascii="仿宋_GB2312" w:eastAsia="仿宋_GB2312"/>
          <w:color w:val="auto"/>
          <w:sz w:val="32"/>
          <w:szCs w:val="32"/>
        </w:rPr>
      </w:pPr>
      <w:r>
        <w:rPr>
          <w:rFonts w:hint="eastAsia" w:ascii="楷体_GB2312" w:hAnsi="楷体_GB2312" w:eastAsia="楷体_GB2312" w:cs="楷体_GB2312"/>
          <w:color w:val="auto"/>
          <w:sz w:val="32"/>
          <w:szCs w:val="32"/>
          <w:lang w:val="en-US" w:eastAsia="zh-CN"/>
        </w:rPr>
        <w:t>(一)</w:t>
      </w:r>
      <w:r>
        <w:rPr>
          <w:rFonts w:hint="eastAsia" w:ascii="楷体_GB2312" w:hAnsi="楷体_GB2312" w:eastAsia="楷体_GB2312" w:cs="楷体_GB2312"/>
          <w:color w:val="auto"/>
          <w:sz w:val="32"/>
          <w:szCs w:val="32"/>
        </w:rPr>
        <w:t>基本</w:t>
      </w:r>
      <w:r>
        <w:rPr>
          <w:rFonts w:hint="eastAsia" w:ascii="楷体_GB2312" w:hAnsi="楷体_GB2312" w:eastAsia="楷体_GB2312" w:cs="楷体_GB2312"/>
          <w:color w:val="auto"/>
          <w:sz w:val="32"/>
          <w:szCs w:val="32"/>
          <w:lang w:eastAsia="zh-CN"/>
        </w:rPr>
        <w:t>支出。</w:t>
      </w:r>
      <w:r>
        <w:rPr>
          <w:rFonts w:hint="eastAsia" w:ascii="仿宋_GB2312" w:eastAsia="仿宋_GB2312"/>
          <w:color w:val="auto"/>
          <w:sz w:val="32"/>
          <w:szCs w:val="32"/>
          <w:lang w:eastAsia="zh-CN"/>
        </w:rPr>
        <w:t>基本</w:t>
      </w:r>
      <w:r>
        <w:rPr>
          <w:rFonts w:hint="eastAsia" w:ascii="仿宋_GB2312" w:eastAsia="仿宋_GB2312"/>
          <w:color w:val="auto"/>
          <w:sz w:val="32"/>
          <w:szCs w:val="32"/>
        </w:rPr>
        <w:t>支</w:t>
      </w:r>
      <w:bookmarkStart w:id="0" w:name="_GoBack"/>
      <w:bookmarkEnd w:id="0"/>
      <w:r>
        <w:rPr>
          <w:rFonts w:hint="eastAsia" w:ascii="仿宋_GB2312" w:eastAsia="仿宋_GB2312"/>
          <w:color w:val="auto"/>
          <w:sz w:val="32"/>
          <w:szCs w:val="32"/>
        </w:rPr>
        <w:t>出预算</w:t>
      </w:r>
      <w:r>
        <w:rPr>
          <w:rFonts w:hint="eastAsia" w:ascii="仿宋_GB2312" w:eastAsia="仿宋_GB2312"/>
          <w:color w:val="auto"/>
          <w:sz w:val="32"/>
          <w:szCs w:val="32"/>
          <w:lang w:val="en-US" w:eastAsia="zh-CN"/>
        </w:rPr>
        <w:t>5288.34</w:t>
      </w:r>
      <w:r>
        <w:rPr>
          <w:rFonts w:hint="eastAsia" w:ascii="仿宋_GB2312" w:eastAsia="仿宋_GB2312"/>
          <w:color w:val="auto"/>
          <w:sz w:val="32"/>
          <w:szCs w:val="32"/>
        </w:rPr>
        <w:t>万元，占总支出预算</w:t>
      </w:r>
      <w:r>
        <w:rPr>
          <w:rFonts w:hint="eastAsia" w:ascii="仿宋_GB2312" w:eastAsia="仿宋_GB2312"/>
          <w:color w:val="auto"/>
          <w:sz w:val="32"/>
          <w:szCs w:val="32"/>
          <w:lang w:val="en-US" w:eastAsia="zh-CN"/>
        </w:rPr>
        <w:t>55</w:t>
      </w:r>
      <w:r>
        <w:rPr>
          <w:rFonts w:hint="eastAsia" w:ascii="仿宋_GB2312" w:eastAsia="仿宋_GB2312"/>
          <w:color w:val="auto"/>
          <w:sz w:val="32"/>
          <w:szCs w:val="32"/>
        </w:rPr>
        <w:t>%，比</w:t>
      </w:r>
      <w:r>
        <w:rPr>
          <w:rFonts w:hint="eastAsia" w:ascii="仿宋_GB2312" w:eastAsia="仿宋_GB2312"/>
          <w:color w:val="auto"/>
          <w:sz w:val="32"/>
          <w:szCs w:val="32"/>
          <w:lang w:eastAsia="zh-CN"/>
        </w:rPr>
        <w:t>2022年年初预算数</w:t>
      </w:r>
      <w:r>
        <w:rPr>
          <w:rFonts w:hint="eastAsia" w:ascii="仿宋_GB2312" w:hAnsi="仿宋_GB2312" w:eastAsia="仿宋_GB2312" w:cs="仿宋_GB2312"/>
          <w:sz w:val="32"/>
          <w:szCs w:val="32"/>
        </w:rPr>
        <w:t>5425.39</w:t>
      </w:r>
      <w:r>
        <w:rPr>
          <w:rFonts w:hint="eastAsia" w:ascii="仿宋_GB2312" w:eastAsia="仿宋_GB2312"/>
          <w:sz w:val="32"/>
          <w:szCs w:val="32"/>
          <w:highlight w:val="none"/>
        </w:rPr>
        <w:t>万元</w:t>
      </w:r>
      <w:r>
        <w:rPr>
          <w:rFonts w:hint="eastAsia" w:ascii="仿宋_GB2312" w:eastAsia="仿宋_GB2312"/>
          <w:sz w:val="32"/>
          <w:szCs w:val="32"/>
          <w:highlight w:val="none"/>
          <w:lang w:val="en-US" w:eastAsia="zh-CN"/>
        </w:rPr>
        <w:t>减少137.05</w:t>
      </w:r>
      <w:r>
        <w:rPr>
          <w:rFonts w:hint="eastAsia" w:ascii="仿宋_GB2312" w:eastAsia="仿宋_GB2312"/>
          <w:sz w:val="32"/>
          <w:szCs w:val="32"/>
          <w:highlight w:val="none"/>
        </w:rPr>
        <w:t>万元，</w:t>
      </w:r>
      <w:r>
        <w:rPr>
          <w:rFonts w:hint="eastAsia" w:ascii="仿宋_GB2312" w:eastAsia="仿宋_GB2312"/>
          <w:sz w:val="32"/>
          <w:szCs w:val="32"/>
          <w:highlight w:val="none"/>
          <w:lang w:eastAsia="zh-CN"/>
        </w:rPr>
        <w:t>下降</w:t>
      </w:r>
      <w:r>
        <w:rPr>
          <w:rFonts w:hint="eastAsia" w:ascii="仿宋_GB2312" w:eastAsia="仿宋_GB2312"/>
          <w:sz w:val="32"/>
          <w:szCs w:val="32"/>
          <w:highlight w:val="none"/>
          <w:lang w:val="en-US" w:eastAsia="zh-CN"/>
        </w:rPr>
        <w:t>2.5</w:t>
      </w:r>
      <w:r>
        <w:rPr>
          <w:rFonts w:hint="eastAsia" w:ascii="仿宋_GB2312" w:eastAsia="仿宋_GB2312"/>
          <w:sz w:val="32"/>
          <w:szCs w:val="32"/>
          <w:highlight w:val="none"/>
        </w:rPr>
        <w:t>%。</w:t>
      </w:r>
    </w:p>
    <w:p>
      <w:pPr>
        <w:spacing w:line="560" w:lineRule="exact"/>
        <w:ind w:firstLine="640"/>
        <w:rPr>
          <w:rFonts w:hint="eastAsia" w:ascii="仿宋_GB2312" w:eastAsia="仿宋_GB2312"/>
          <w:color w:val="auto"/>
          <w:sz w:val="32"/>
          <w:szCs w:val="32"/>
        </w:rPr>
      </w:pPr>
      <w:r>
        <w:rPr>
          <w:rFonts w:hint="eastAsia" w:ascii="楷体_GB2312" w:hAnsi="楷体_GB2312" w:eastAsia="楷体_GB2312" w:cs="楷体_GB2312"/>
          <w:color w:val="auto"/>
          <w:sz w:val="32"/>
          <w:szCs w:val="32"/>
          <w:lang w:eastAsia="zh-CN"/>
        </w:rPr>
        <w:t>（二）项目支出。</w:t>
      </w:r>
      <w:r>
        <w:rPr>
          <w:rFonts w:hint="eastAsia" w:ascii="仿宋_GB2312" w:eastAsia="仿宋_GB2312"/>
          <w:color w:val="auto"/>
          <w:sz w:val="32"/>
          <w:szCs w:val="32"/>
        </w:rPr>
        <w:t>项目支出预算</w:t>
      </w:r>
      <w:r>
        <w:rPr>
          <w:rFonts w:hint="eastAsia" w:ascii="仿宋_GB2312" w:eastAsia="仿宋_GB2312"/>
          <w:color w:val="auto"/>
          <w:sz w:val="32"/>
          <w:szCs w:val="32"/>
          <w:lang w:val="en-US" w:eastAsia="zh-CN"/>
        </w:rPr>
        <w:t>4256.28</w:t>
      </w:r>
      <w:r>
        <w:rPr>
          <w:rFonts w:hint="eastAsia" w:ascii="仿宋_GB2312" w:eastAsia="仿宋_GB2312"/>
          <w:color w:val="auto"/>
          <w:sz w:val="32"/>
          <w:szCs w:val="32"/>
        </w:rPr>
        <w:t>万元，比</w:t>
      </w:r>
      <w:r>
        <w:rPr>
          <w:rFonts w:hint="eastAsia" w:ascii="仿宋_GB2312" w:eastAsia="仿宋_GB2312"/>
          <w:color w:val="auto"/>
          <w:sz w:val="32"/>
          <w:szCs w:val="32"/>
          <w:lang w:eastAsia="zh-CN"/>
        </w:rPr>
        <w:t>2022年年初预算数</w:t>
      </w:r>
      <w:r>
        <w:rPr>
          <w:rFonts w:hint="eastAsia" w:ascii="仿宋_GB2312" w:hAnsi="仿宋_GB2312" w:eastAsia="仿宋_GB2312" w:cs="仿宋_GB2312"/>
          <w:sz w:val="32"/>
          <w:szCs w:val="32"/>
          <w:lang w:val="en-US" w:eastAsia="zh-CN"/>
        </w:rPr>
        <w:t>1100.07</w:t>
      </w:r>
      <w:r>
        <w:rPr>
          <w:rFonts w:hint="eastAsia" w:ascii="仿宋_GB2312" w:eastAsia="仿宋_GB2312"/>
          <w:sz w:val="32"/>
          <w:szCs w:val="32"/>
          <w:highlight w:val="none"/>
        </w:rPr>
        <w:t>万元增加</w:t>
      </w:r>
      <w:r>
        <w:rPr>
          <w:rFonts w:hint="eastAsia" w:ascii="仿宋_GB2312" w:eastAsia="仿宋_GB2312"/>
          <w:sz w:val="32"/>
          <w:szCs w:val="32"/>
          <w:highlight w:val="none"/>
          <w:lang w:val="en-US" w:eastAsia="zh-CN"/>
        </w:rPr>
        <w:t>3156.21</w:t>
      </w:r>
      <w:r>
        <w:rPr>
          <w:rFonts w:hint="eastAsia" w:ascii="仿宋_GB2312" w:eastAsia="仿宋_GB2312"/>
          <w:sz w:val="32"/>
          <w:szCs w:val="32"/>
          <w:highlight w:val="none"/>
        </w:rPr>
        <w:t>万元，增长</w:t>
      </w:r>
      <w:r>
        <w:rPr>
          <w:rFonts w:hint="eastAsia" w:ascii="仿宋_GB2312" w:eastAsia="仿宋_GB2312"/>
          <w:sz w:val="32"/>
          <w:szCs w:val="32"/>
          <w:highlight w:val="none"/>
          <w:lang w:val="en-US" w:eastAsia="zh-CN"/>
        </w:rPr>
        <w:t>287</w:t>
      </w:r>
      <w:r>
        <w:rPr>
          <w:rFonts w:hint="eastAsia" w:ascii="仿宋_GB2312" w:eastAsia="仿宋_GB2312"/>
          <w:sz w:val="32"/>
          <w:szCs w:val="32"/>
          <w:highlight w:val="none"/>
        </w:rPr>
        <w:t>%</w:t>
      </w:r>
      <w:r>
        <w:rPr>
          <w:rFonts w:hint="eastAsia" w:ascii="仿宋_GB2312" w:eastAsia="仿宋_GB2312"/>
          <w:color w:val="auto"/>
          <w:sz w:val="32"/>
          <w:szCs w:val="32"/>
        </w:rPr>
        <w:t>。其中：</w:t>
      </w:r>
    </w:p>
    <w:p>
      <w:pPr>
        <w:spacing w:line="560" w:lineRule="exact"/>
        <w:ind w:firstLine="640"/>
        <w:rPr>
          <w:rFonts w:hint="eastAsia" w:ascii="仿宋_GB2312" w:eastAsia="仿宋_GB2312" w:cs="Droid Sans"/>
          <w:color w:val="auto"/>
          <w:sz w:val="32"/>
          <w:szCs w:val="32"/>
        </w:rPr>
      </w:pPr>
      <w:r>
        <w:rPr>
          <w:rFonts w:hint="eastAsia" w:ascii="仿宋_GB2312" w:eastAsia="仿宋_GB2312" w:cs="Droid Sans"/>
          <w:color w:val="auto"/>
          <w:sz w:val="32"/>
          <w:szCs w:val="32"/>
        </w:rPr>
        <w:t>1.事业单位经营支出</w:t>
      </w:r>
      <w:r>
        <w:rPr>
          <w:rFonts w:hint="eastAsia" w:ascii="仿宋_GB2312" w:eastAsia="仿宋_GB2312" w:cs="Droid Sans"/>
          <w:color w:val="auto"/>
          <w:sz w:val="32"/>
          <w:szCs w:val="32"/>
          <w:lang w:val="en-US" w:eastAsia="zh-CN"/>
        </w:rPr>
        <w:t>0</w:t>
      </w:r>
      <w:r>
        <w:rPr>
          <w:rFonts w:hint="eastAsia" w:ascii="仿宋_GB2312" w:eastAsia="仿宋_GB2312" w:cs="Droid Sans"/>
          <w:color w:val="auto"/>
          <w:sz w:val="32"/>
          <w:szCs w:val="32"/>
        </w:rPr>
        <w:t>万元。</w:t>
      </w:r>
    </w:p>
    <w:p>
      <w:pPr>
        <w:spacing w:line="560" w:lineRule="exact"/>
        <w:ind w:firstLine="640"/>
        <w:rPr>
          <w:rFonts w:hint="eastAsia" w:ascii="仿宋_GB2312" w:eastAsia="仿宋_GB2312" w:cs="Droid Sans"/>
          <w:color w:val="auto"/>
          <w:sz w:val="32"/>
          <w:szCs w:val="32"/>
        </w:rPr>
      </w:pPr>
      <w:r>
        <w:rPr>
          <w:rFonts w:hint="eastAsia" w:ascii="仿宋_GB2312" w:eastAsia="仿宋_GB2312" w:cs="Droid Sans"/>
          <w:color w:val="auto"/>
          <w:sz w:val="32"/>
          <w:szCs w:val="32"/>
        </w:rPr>
        <w:t>2.上缴上级支出</w:t>
      </w:r>
      <w:r>
        <w:rPr>
          <w:rFonts w:hint="eastAsia" w:ascii="仿宋_GB2312" w:eastAsia="仿宋_GB2312" w:cs="Droid Sans"/>
          <w:color w:val="auto"/>
          <w:sz w:val="32"/>
          <w:szCs w:val="32"/>
          <w:lang w:val="en-US" w:eastAsia="zh-CN"/>
        </w:rPr>
        <w:t>0</w:t>
      </w:r>
      <w:r>
        <w:rPr>
          <w:rFonts w:hint="eastAsia" w:ascii="仿宋_GB2312" w:eastAsia="仿宋_GB2312" w:cs="Droid Sans"/>
          <w:color w:val="auto"/>
          <w:sz w:val="32"/>
          <w:szCs w:val="32"/>
        </w:rPr>
        <w:t>万元。</w:t>
      </w:r>
    </w:p>
    <w:p>
      <w:pPr>
        <w:spacing w:line="560" w:lineRule="exact"/>
        <w:ind w:firstLine="640"/>
        <w:rPr>
          <w:rFonts w:hint="eastAsia" w:ascii="仿宋_GB2312" w:eastAsia="仿宋_GB2312" w:cs="Droid Sans"/>
          <w:color w:val="auto"/>
          <w:sz w:val="32"/>
          <w:szCs w:val="32"/>
        </w:rPr>
      </w:pPr>
      <w:r>
        <w:rPr>
          <w:rFonts w:hint="eastAsia" w:ascii="仿宋_GB2312" w:eastAsia="仿宋_GB2312" w:cs="Droid Sans"/>
          <w:color w:val="auto"/>
          <w:sz w:val="32"/>
          <w:szCs w:val="32"/>
        </w:rPr>
        <w:t>3.对附属单位补助支出</w:t>
      </w:r>
      <w:r>
        <w:rPr>
          <w:rFonts w:hint="eastAsia" w:ascii="仿宋_GB2312" w:eastAsia="仿宋_GB2312" w:cs="Droid Sans"/>
          <w:color w:val="auto"/>
          <w:sz w:val="32"/>
          <w:szCs w:val="32"/>
          <w:lang w:val="en-US" w:eastAsia="zh-CN"/>
        </w:rPr>
        <w:t>0</w:t>
      </w:r>
      <w:r>
        <w:rPr>
          <w:rFonts w:hint="eastAsia" w:ascii="仿宋_GB2312" w:eastAsia="仿宋_GB2312" w:cs="Droid Sans"/>
          <w:color w:val="auto"/>
          <w:sz w:val="32"/>
          <w:szCs w:val="32"/>
        </w:rPr>
        <w:t>万元。</w:t>
      </w:r>
    </w:p>
    <w:p>
      <w:pPr>
        <w:tabs>
          <w:tab w:val="left" w:pos="778"/>
        </w:tabs>
        <w:bidi w:val="0"/>
        <w:jc w:val="center"/>
        <w:rPr>
          <w:rFonts w:hint="default" w:ascii="仿宋_GB2312" w:eastAsia="仿宋_GB2312" w:cs="Droid Sans"/>
          <w:color w:val="auto"/>
          <w:sz w:val="32"/>
          <w:szCs w:val="32"/>
          <w:lang w:val="en-US" w:eastAsia="zh-CN"/>
        </w:rPr>
      </w:pPr>
      <w:r>
        <w:rPr>
          <w:rFonts w:hint="eastAsia" w:ascii="仿宋_GB2312" w:hAnsi="Cambria" w:eastAsia="仿宋_GB2312" w:cs="Times New Roman"/>
          <w:b/>
          <w:bCs/>
          <w:color w:val="auto"/>
          <w:kern w:val="0"/>
          <w:sz w:val="32"/>
          <w:szCs w:val="32"/>
          <w:lang w:val="en-US" w:eastAsia="zh-CN" w:bidi="ar-SA"/>
        </w:rPr>
        <w:t>图2：基本支出和项目支出情况</w:t>
      </w:r>
      <w:r>
        <w:rPr>
          <w:rFonts w:hint="default" w:ascii="仿宋_GB2312" w:eastAsia="仿宋_GB2312" w:cs="Droid Sans"/>
          <w:color w:val="auto"/>
          <w:sz w:val="32"/>
          <w:szCs w:val="32"/>
          <w:lang w:val="en-US" w:eastAsia="zh-CN"/>
        </w:rPr>
        <w:drawing>
          <wp:inline distT="0" distB="0" distL="114300" distR="114300">
            <wp:extent cx="4622800" cy="3410585"/>
            <wp:effectExtent l="4445" t="4445" r="20955" b="13970"/>
            <wp:docPr id="2" name="图表 2" descr="7b0a202020202263686172745265734964223a20223230343730393037220a7d0a"/>
            <wp:cNvGraphicFramePr/>
            <a:graphic xmlns:a="http://schemas.openxmlformats.org/drawingml/2006/main">
              <a:graphicData uri="http://schemas.openxmlformats.org/drawingml/2006/chart">
                <c:chart xmlns:c="http://schemas.openxmlformats.org/drawingml/2006/chart" xmlns:r="http://schemas.openxmlformats.org/officeDocument/2006/relationships" r:id="rId6"/>
              </a:graphicData>
            </a:graphic>
          </wp:inline>
        </w:drawing>
      </w:r>
    </w:p>
    <w:p>
      <w:pPr>
        <w:spacing w:line="560" w:lineRule="exact"/>
        <w:ind w:firstLine="640" w:firstLineChars="200"/>
        <w:rPr>
          <w:rFonts w:ascii="黑体" w:hAnsi="黑体" w:eastAsia="黑体"/>
          <w:color w:val="000000"/>
          <w:sz w:val="32"/>
          <w:szCs w:val="32"/>
        </w:rPr>
      </w:pPr>
      <w:r>
        <w:rPr>
          <w:rFonts w:hint="eastAsia" w:ascii="黑体" w:hAnsi="黑体" w:eastAsia="黑体"/>
          <w:color w:val="000000"/>
          <w:sz w:val="32"/>
          <w:szCs w:val="32"/>
        </w:rPr>
        <w:t>四、</w:t>
      </w:r>
      <w:r>
        <w:rPr>
          <w:rFonts w:hint="eastAsia" w:ascii="黑体" w:eastAsia="黑体"/>
          <w:color w:val="auto"/>
          <w:sz w:val="32"/>
          <w:szCs w:val="32"/>
        </w:rPr>
        <w:t>财政拨款“三公”经费预算</w:t>
      </w:r>
      <w:r>
        <w:rPr>
          <w:rFonts w:hint="eastAsia" w:ascii="黑体" w:eastAsia="黑体"/>
          <w:color w:val="auto"/>
          <w:sz w:val="32"/>
          <w:szCs w:val="32"/>
          <w:lang w:eastAsia="zh-CN"/>
        </w:rPr>
        <w:t>情况</w:t>
      </w:r>
      <w:r>
        <w:rPr>
          <w:rFonts w:hint="eastAsia" w:ascii="黑体" w:eastAsia="黑体"/>
          <w:color w:val="auto"/>
          <w:sz w:val="32"/>
          <w:szCs w:val="32"/>
        </w:rPr>
        <w:t>说明</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pPr>
      <w:r>
        <w:rPr>
          <w:rFonts w:hint="eastAsia" w:ascii="仿宋_GB2312" w:eastAsia="仿宋_GB2312"/>
          <w:color w:val="000000"/>
          <w:sz w:val="32"/>
          <w:szCs w:val="32"/>
        </w:rPr>
        <w:t>本单位</w:t>
      </w:r>
      <w:r>
        <w:rPr>
          <w:rFonts w:hint="eastAsia" w:ascii="仿宋_GB2312" w:eastAsia="仿宋_GB2312"/>
          <w:color w:val="000000"/>
          <w:sz w:val="32"/>
          <w:szCs w:val="32"/>
          <w:lang w:eastAsia="zh-CN"/>
        </w:rPr>
        <w:t>2023年</w:t>
      </w:r>
      <w:r>
        <w:rPr>
          <w:rFonts w:hint="eastAsia" w:ascii="仿宋_GB2312" w:eastAsia="仿宋_GB2312"/>
          <w:color w:val="000000"/>
          <w:sz w:val="32"/>
          <w:szCs w:val="32"/>
        </w:rPr>
        <w:t>无财政拨款安排的</w:t>
      </w:r>
      <w:r>
        <w:rPr>
          <w:rFonts w:hint="eastAsia" w:ascii="仿宋_GB2312" w:eastAsia="仿宋_GB2312"/>
          <w:color w:val="000000"/>
          <w:sz w:val="32"/>
          <w:szCs w:val="32"/>
          <w:lang w:eastAsia="zh-CN"/>
        </w:rPr>
        <w:t>“</w:t>
      </w:r>
      <w:r>
        <w:rPr>
          <w:rFonts w:hint="eastAsia" w:ascii="仿宋_GB2312" w:eastAsia="仿宋_GB2312"/>
          <w:color w:val="000000"/>
          <w:sz w:val="32"/>
          <w:szCs w:val="32"/>
        </w:rPr>
        <w:t>三公</w:t>
      </w:r>
      <w:r>
        <w:rPr>
          <w:rFonts w:hint="eastAsia" w:ascii="仿宋_GB2312" w:eastAsia="仿宋_GB2312"/>
          <w:color w:val="000000"/>
          <w:sz w:val="32"/>
          <w:szCs w:val="32"/>
          <w:lang w:eastAsia="zh-CN"/>
        </w:rPr>
        <w:t>”</w:t>
      </w:r>
      <w:r>
        <w:rPr>
          <w:rFonts w:hint="eastAsia" w:ascii="仿宋_GB2312" w:eastAsia="仿宋_GB2312"/>
          <w:color w:val="000000"/>
          <w:sz w:val="32"/>
          <w:szCs w:val="32"/>
        </w:rPr>
        <w:t>经费预算</w:t>
      </w:r>
      <w:r>
        <w:rPr>
          <w:rFonts w:hint="eastAsia" w:ascii="仿宋_GB2312" w:eastAsia="仿宋_GB2312"/>
          <w:color w:val="000000"/>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ascii="黑体" w:hAnsi="黑体" w:eastAsia="黑体"/>
          <w:color w:val="000000"/>
          <w:sz w:val="32"/>
          <w:szCs w:val="32"/>
        </w:rPr>
      </w:pPr>
      <w:r>
        <w:rPr>
          <w:rFonts w:hint="eastAsia" w:ascii="黑体" w:hAnsi="黑体" w:eastAsia="黑体"/>
          <w:color w:val="000000"/>
          <w:sz w:val="32"/>
          <w:szCs w:val="32"/>
        </w:rPr>
        <w:t>五、其他情况说明</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ascii="楷体_GB2312" w:eastAsia="楷体_GB2312"/>
          <w:color w:val="000000"/>
          <w:sz w:val="32"/>
          <w:szCs w:val="32"/>
        </w:rPr>
      </w:pPr>
      <w:r>
        <w:rPr>
          <w:rFonts w:hint="eastAsia" w:ascii="楷体_GB2312" w:eastAsia="楷体_GB2312"/>
          <w:color w:val="000000"/>
          <w:sz w:val="32"/>
          <w:szCs w:val="32"/>
        </w:rPr>
        <w:t>（一）政府采购预算说明</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2023年</w:t>
      </w:r>
      <w:r>
        <w:rPr>
          <w:rFonts w:hint="eastAsia" w:ascii="仿宋_GB2312" w:hAnsi="仿宋_GB2312" w:eastAsia="仿宋_GB2312" w:cs="仿宋_GB2312"/>
          <w:sz w:val="32"/>
          <w:szCs w:val="32"/>
        </w:rPr>
        <w:t>北京市劳动人民文化宫政府采购预算总额</w:t>
      </w:r>
      <w:r>
        <w:rPr>
          <w:rFonts w:hint="eastAsia" w:ascii="仿宋_GB2312" w:hAnsi="仿宋_GB2312" w:eastAsia="仿宋_GB2312" w:cs="仿宋_GB2312"/>
          <w:sz w:val="32"/>
          <w:szCs w:val="32"/>
          <w:lang w:val="en-US" w:eastAsia="zh-CN"/>
        </w:rPr>
        <w:t>277.42</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全部为政府采购工程预算</w:t>
      </w:r>
      <w:r>
        <w:rPr>
          <w:rFonts w:hint="eastAsia" w:ascii="仿宋_GB2312" w:hAnsi="仿宋_GB2312" w:eastAsia="仿宋_GB2312" w:cs="仿宋_GB2312"/>
          <w:sz w:val="32"/>
          <w:szCs w:val="32"/>
          <w:lang w:val="en-US" w:eastAsia="zh-CN"/>
        </w:rPr>
        <w:t>。</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ascii="楷体_GB2312" w:eastAsia="楷体_GB2312"/>
          <w:color w:val="000000"/>
          <w:sz w:val="32"/>
          <w:szCs w:val="32"/>
        </w:rPr>
      </w:pPr>
      <w:r>
        <w:rPr>
          <w:rFonts w:hint="eastAsia" w:ascii="楷体_GB2312" w:eastAsia="楷体_GB2312"/>
          <w:color w:val="000000"/>
          <w:sz w:val="32"/>
          <w:szCs w:val="32"/>
        </w:rPr>
        <w:t>（二）政府购买服务预算说明</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ascii="仿宋_GB2312" w:hAnsi="仿宋_GB2312" w:eastAsia="仿宋_GB2312" w:cs="仿宋_GB2312"/>
          <w:sz w:val="32"/>
          <w:szCs w:val="32"/>
        </w:rPr>
      </w:pPr>
      <w:r>
        <w:rPr>
          <w:rFonts w:hint="eastAsia" w:ascii="仿宋_GB2312" w:hAnsi="仿宋_GB2312" w:eastAsia="仿宋_GB2312" w:cs="仿宋_GB2312"/>
          <w:sz w:val="32"/>
          <w:szCs w:val="32"/>
        </w:rPr>
        <w:t>本单位</w:t>
      </w:r>
      <w:r>
        <w:rPr>
          <w:rFonts w:hint="eastAsia" w:ascii="仿宋_GB2312" w:hAnsi="仿宋_GB2312" w:eastAsia="仿宋_GB2312" w:cs="仿宋_GB2312"/>
          <w:sz w:val="32"/>
          <w:szCs w:val="32"/>
          <w:lang w:eastAsia="zh-CN"/>
        </w:rPr>
        <w:t>2023年</w:t>
      </w:r>
      <w:r>
        <w:rPr>
          <w:rFonts w:hint="eastAsia" w:ascii="仿宋_GB2312" w:hAnsi="仿宋_GB2312" w:eastAsia="仿宋_GB2312" w:cs="仿宋_GB2312"/>
          <w:sz w:val="32"/>
          <w:szCs w:val="32"/>
        </w:rPr>
        <w:t>无财政安排政府购买服务预算。</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ascii="楷体_GB2312" w:eastAsia="楷体_GB2312"/>
          <w:color w:val="000000"/>
          <w:sz w:val="32"/>
          <w:szCs w:val="32"/>
        </w:rPr>
      </w:pPr>
      <w:r>
        <w:rPr>
          <w:rFonts w:hint="eastAsia" w:ascii="楷体_GB2312" w:eastAsia="楷体_GB2312"/>
          <w:color w:val="000000"/>
          <w:sz w:val="32"/>
          <w:szCs w:val="32"/>
        </w:rPr>
        <w:t>（三）机关运行经费说明</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ascii="仿宋_GB2312" w:eastAsia="仿宋_GB2312"/>
          <w:color w:val="000000"/>
          <w:sz w:val="32"/>
          <w:szCs w:val="32"/>
        </w:rPr>
      </w:pPr>
      <w:r>
        <w:rPr>
          <w:rFonts w:hint="eastAsia" w:ascii="仿宋_GB2312" w:eastAsia="仿宋_GB2312"/>
          <w:color w:val="000000"/>
          <w:sz w:val="32"/>
          <w:szCs w:val="32"/>
        </w:rPr>
        <w:t>本单位不在机关运行经费统计范围之内。</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ascii="楷体_GB2312" w:eastAsia="楷体_GB2312"/>
          <w:color w:val="000000"/>
          <w:sz w:val="32"/>
          <w:szCs w:val="32"/>
        </w:rPr>
      </w:pPr>
      <w:r>
        <w:rPr>
          <w:rFonts w:hint="eastAsia" w:ascii="楷体_GB2312" w:eastAsia="楷体_GB2312"/>
          <w:color w:val="000000"/>
          <w:sz w:val="32"/>
          <w:szCs w:val="32"/>
        </w:rPr>
        <w:t>（四）项目支出绩效目标情况说明</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ascii="仿宋_GB2312" w:eastAsia="仿宋_GB2312"/>
          <w:color w:val="auto"/>
          <w:sz w:val="32"/>
          <w:szCs w:val="32"/>
        </w:rPr>
      </w:pPr>
      <w:r>
        <w:rPr>
          <w:rFonts w:hint="eastAsia" w:ascii="仿宋_GB2312" w:hAnsi="仿宋_GB2312" w:eastAsia="仿宋_GB2312" w:cs="仿宋_GB2312"/>
          <w:sz w:val="32"/>
          <w:szCs w:val="32"/>
          <w:lang w:eastAsia="zh-CN"/>
        </w:rPr>
        <w:t>2023年</w:t>
      </w:r>
      <w:r>
        <w:rPr>
          <w:rFonts w:hint="eastAsia" w:ascii="仿宋_GB2312" w:hAnsi="仿宋_GB2312" w:eastAsia="仿宋_GB2312" w:cs="仿宋_GB2312"/>
          <w:sz w:val="32"/>
          <w:szCs w:val="32"/>
        </w:rPr>
        <w:t>，北京市劳动人民文化宫填报绩效目标的预算项目</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个，占全部预算项目</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个的100%。填报绩效目标的项目支出预算</w:t>
      </w:r>
      <w:r>
        <w:rPr>
          <w:rFonts w:hint="eastAsia" w:ascii="仿宋_GB2312" w:hAnsi="仿宋_GB2312" w:eastAsia="仿宋_GB2312" w:cs="仿宋_GB2312"/>
          <w:sz w:val="32"/>
          <w:szCs w:val="32"/>
          <w:lang w:val="en-US" w:eastAsia="zh-CN"/>
        </w:rPr>
        <w:t>1535.06</w:t>
      </w:r>
      <w:r>
        <w:rPr>
          <w:rFonts w:hint="eastAsia" w:ascii="仿宋_GB2312" w:hAnsi="仿宋_GB2312" w:eastAsia="仿宋_GB2312" w:cs="仿宋_GB2312"/>
          <w:sz w:val="32"/>
          <w:szCs w:val="32"/>
        </w:rPr>
        <w:t>万元，占本单位全部项目支</w:t>
      </w:r>
      <w:r>
        <w:rPr>
          <w:rFonts w:hint="eastAsia" w:ascii="仿宋_GB2312" w:hAnsi="仿宋_GB2312" w:eastAsia="仿宋_GB2312" w:cs="仿宋_GB2312"/>
          <w:color w:val="auto"/>
          <w:sz w:val="32"/>
          <w:szCs w:val="32"/>
        </w:rPr>
        <w:t>出预算的100%。</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ascii="楷体_GB2312" w:eastAsia="楷体_GB2312"/>
          <w:color w:val="auto"/>
          <w:sz w:val="32"/>
          <w:szCs w:val="32"/>
        </w:rPr>
      </w:pPr>
      <w:r>
        <w:rPr>
          <w:rFonts w:hint="eastAsia" w:ascii="楷体_GB2312" w:eastAsia="楷体_GB2312"/>
          <w:color w:val="auto"/>
          <w:sz w:val="32"/>
          <w:szCs w:val="32"/>
        </w:rPr>
        <w:t>（五）重点行政事业性收费情况说明</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ascii="仿宋_GB2312" w:eastAsia="仿宋_GB2312"/>
          <w:color w:val="000000"/>
          <w:sz w:val="32"/>
          <w:szCs w:val="32"/>
        </w:rPr>
      </w:pPr>
      <w:r>
        <w:rPr>
          <w:rFonts w:hint="eastAsia" w:ascii="仿宋_GB2312" w:hAnsi="仿宋_GB2312" w:eastAsia="仿宋_GB2312" w:cs="仿宋_GB2312"/>
          <w:sz w:val="32"/>
          <w:szCs w:val="32"/>
        </w:rPr>
        <w:t>本单位</w:t>
      </w:r>
      <w:r>
        <w:rPr>
          <w:rFonts w:hint="eastAsia" w:ascii="仿宋_GB2312" w:hAnsi="仿宋_GB2312" w:eastAsia="仿宋_GB2312" w:cs="仿宋_GB2312"/>
          <w:sz w:val="32"/>
          <w:szCs w:val="32"/>
          <w:lang w:eastAsia="zh-CN"/>
        </w:rPr>
        <w:t>2023年</w:t>
      </w:r>
      <w:r>
        <w:rPr>
          <w:rFonts w:hint="eastAsia" w:ascii="仿宋_GB2312" w:hAnsi="仿宋_GB2312" w:eastAsia="仿宋_GB2312" w:cs="仿宋_GB2312"/>
          <w:sz w:val="32"/>
          <w:szCs w:val="32"/>
        </w:rPr>
        <w:t>无重点行政事业性收费。</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ascii="楷体_GB2312" w:eastAsia="楷体_GB2312"/>
          <w:color w:val="000000"/>
          <w:sz w:val="32"/>
          <w:szCs w:val="32"/>
        </w:rPr>
      </w:pPr>
      <w:r>
        <w:rPr>
          <w:rFonts w:hint="eastAsia" w:ascii="楷体_GB2312" w:eastAsia="楷体_GB2312"/>
          <w:color w:val="000000"/>
          <w:sz w:val="32"/>
          <w:szCs w:val="32"/>
        </w:rPr>
        <w:t>（六）国有资本经营预算财政拨款情况说明</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ascii="仿宋_GB2312" w:eastAsia="仿宋_GB2312"/>
          <w:color w:val="000000"/>
          <w:sz w:val="32"/>
          <w:szCs w:val="32"/>
        </w:rPr>
      </w:pPr>
      <w:r>
        <w:rPr>
          <w:rFonts w:hint="eastAsia" w:ascii="仿宋_GB2312" w:hAnsi="仿宋_GB2312" w:eastAsia="仿宋_GB2312" w:cs="仿宋_GB2312"/>
          <w:sz w:val="32"/>
          <w:szCs w:val="32"/>
        </w:rPr>
        <w:t>本单位</w:t>
      </w:r>
      <w:r>
        <w:rPr>
          <w:rFonts w:hint="eastAsia" w:ascii="仿宋_GB2312" w:hAnsi="仿宋_GB2312" w:eastAsia="仿宋_GB2312" w:cs="仿宋_GB2312"/>
          <w:sz w:val="32"/>
          <w:szCs w:val="32"/>
          <w:lang w:eastAsia="zh-CN"/>
        </w:rPr>
        <w:t>2023年</w:t>
      </w:r>
      <w:r>
        <w:rPr>
          <w:rFonts w:hint="eastAsia" w:ascii="仿宋_GB2312" w:hAnsi="仿宋_GB2312" w:eastAsia="仿宋_GB2312" w:cs="仿宋_GB2312"/>
          <w:sz w:val="32"/>
          <w:szCs w:val="32"/>
        </w:rPr>
        <w:t>无国有资本经营预算财政拨款安排的预算。</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ascii="楷体_GB2312" w:eastAsia="楷体_GB2312"/>
          <w:color w:val="000000"/>
          <w:sz w:val="32"/>
          <w:szCs w:val="32"/>
        </w:rPr>
      </w:pPr>
      <w:r>
        <w:rPr>
          <w:rFonts w:hint="eastAsia" w:ascii="楷体_GB2312" w:eastAsia="楷体_GB2312"/>
          <w:color w:val="000000"/>
          <w:sz w:val="32"/>
          <w:szCs w:val="32"/>
        </w:rPr>
        <w:t>（七）国有资产占用情况说明</w:t>
      </w:r>
    </w:p>
    <w:p>
      <w:pPr>
        <w:spacing w:line="560" w:lineRule="exact"/>
        <w:ind w:firstLine="640" w:firstLineChars="200"/>
        <w:rPr>
          <w:rFonts w:hint="eastAsia" w:ascii="仿宋_GB2312" w:eastAsia="仿宋_GB2312"/>
          <w:color w:val="000000"/>
          <w:sz w:val="32"/>
          <w:szCs w:val="32"/>
          <w:highlight w:val="none"/>
          <w:lang w:val="en-US" w:eastAsia="zh-CN"/>
        </w:rPr>
      </w:pPr>
      <w:r>
        <w:rPr>
          <w:rFonts w:hint="eastAsia" w:ascii="仿宋_GB2312" w:eastAsia="仿宋_GB2312"/>
          <w:color w:val="000000"/>
          <w:sz w:val="32"/>
          <w:szCs w:val="32"/>
          <w:highlight w:val="none"/>
          <w:lang w:eastAsia="zh-CN"/>
        </w:rPr>
        <w:t>本单位</w:t>
      </w:r>
      <w:r>
        <w:rPr>
          <w:rFonts w:hint="eastAsia" w:ascii="仿宋_GB2312" w:eastAsia="仿宋_GB2312"/>
          <w:color w:val="000000"/>
          <w:sz w:val="32"/>
          <w:szCs w:val="32"/>
          <w:highlight w:val="none"/>
          <w:lang w:val="en-US" w:eastAsia="zh-CN"/>
        </w:rPr>
        <w:t>2023年无财政资金国有资产占用情况。</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ascii="仿宋_GB2312" w:eastAsia="仿宋_GB2312"/>
          <w:color w:val="000000"/>
          <w:spacing w:val="-2"/>
          <w:sz w:val="32"/>
          <w:szCs w:val="32"/>
        </w:rPr>
      </w:pPr>
      <w:r>
        <w:rPr>
          <w:rFonts w:hint="eastAsia" w:ascii="黑体" w:hAnsi="黑体" w:eastAsia="黑体"/>
          <w:color w:val="000000"/>
          <w:sz w:val="32"/>
          <w:szCs w:val="32"/>
        </w:rPr>
        <w:t>六、名词解释</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eastAsia" w:ascii="仿宋_GB2312" w:eastAsia="仿宋_GB2312"/>
          <w:color w:val="000000"/>
          <w:sz w:val="32"/>
          <w:szCs w:val="32"/>
        </w:rPr>
      </w:pPr>
      <w:r>
        <w:rPr>
          <w:rFonts w:hint="eastAsia" w:ascii="仿宋_GB2312" w:eastAsia="仿宋_GB2312"/>
          <w:color w:val="000000"/>
          <w:sz w:val="32"/>
          <w:szCs w:val="32"/>
        </w:rPr>
        <w:t>基本支出：指为保障机构正常运转、完成日常工作任务而发生的人员支出和公用支出。</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eastAsia" w:ascii="仿宋_GB2312" w:eastAsia="仿宋_GB2312"/>
          <w:color w:val="000000"/>
          <w:sz w:val="32"/>
          <w:szCs w:val="32"/>
        </w:rPr>
      </w:pPr>
      <w:r>
        <w:rPr>
          <w:rFonts w:hint="eastAsia" w:ascii="仿宋_GB2312" w:eastAsia="仿宋_GB2312"/>
          <w:color w:val="000000"/>
          <w:sz w:val="32"/>
          <w:szCs w:val="32"/>
        </w:rPr>
        <w:t>项目支出：指在基本支出之外为完成特定行政任务或事业发展目标所发生的支出。</w:t>
      </w:r>
    </w:p>
    <w:p>
      <w:pPr>
        <w:spacing w:line="560" w:lineRule="exact"/>
        <w:ind w:firstLine="640" w:firstLineChars="200"/>
        <w:rPr>
          <w:rFonts w:hint="eastAsia" w:ascii="仿宋_GB2312" w:eastAsia="仿宋_GB2312"/>
          <w:color w:val="000000"/>
          <w:sz w:val="32"/>
          <w:szCs w:val="32"/>
        </w:rPr>
      </w:pPr>
      <w:r>
        <w:rPr>
          <w:rFonts w:hint="eastAsia" w:ascii="仿宋_GB2312" w:eastAsia="仿宋_GB2312"/>
          <w:color w:val="000000"/>
          <w:sz w:val="32"/>
          <w:szCs w:val="32"/>
        </w:rPr>
        <w:t>政府采购：各级国家机关、事业单位和团体组织，使用财政性资金采购依法制定的集中采购目录以内的或者采购限额标准以上的货物、工程和服务的行为，是规范财政支出管理和强化预算约束的有效措施。</w:t>
      </w:r>
    </w:p>
    <w:p>
      <w:pPr>
        <w:spacing w:line="560" w:lineRule="exact"/>
        <w:rPr>
          <w:rFonts w:ascii="仿宋_GB2312" w:eastAsia="仿宋_GB2312"/>
          <w:color w:val="000000"/>
          <w:sz w:val="32"/>
          <w:szCs w:val="32"/>
        </w:rPr>
      </w:pPr>
    </w:p>
    <w:p>
      <w:pPr>
        <w:spacing w:line="560" w:lineRule="exact"/>
        <w:jc w:val="center"/>
        <w:rPr>
          <w:rFonts w:ascii="方正小标宋简体" w:eastAsia="方正小标宋简体"/>
          <w:color w:val="000000"/>
          <w:sz w:val="36"/>
          <w:szCs w:val="36"/>
        </w:rPr>
      </w:pPr>
      <w:r>
        <w:rPr>
          <w:rFonts w:hint="eastAsia" w:ascii="方正小标宋简体" w:eastAsia="方正小标宋简体"/>
          <w:color w:val="000000"/>
          <w:sz w:val="36"/>
          <w:szCs w:val="36"/>
        </w:rPr>
        <w:t xml:space="preserve">第二部分  </w:t>
      </w:r>
      <w:r>
        <w:rPr>
          <w:rFonts w:hint="eastAsia" w:ascii="方正小标宋简体" w:eastAsia="方正小标宋简体"/>
          <w:color w:val="000000"/>
          <w:sz w:val="36"/>
          <w:szCs w:val="36"/>
          <w:lang w:eastAsia="zh-CN"/>
        </w:rPr>
        <w:t>2023年</w:t>
      </w:r>
      <w:r>
        <w:rPr>
          <w:rFonts w:hint="eastAsia" w:ascii="方正小标宋简体" w:eastAsia="方正小标宋简体"/>
          <w:color w:val="000000"/>
          <w:sz w:val="36"/>
          <w:szCs w:val="36"/>
        </w:rPr>
        <w:t>单位预算报表</w:t>
      </w:r>
    </w:p>
    <w:p>
      <w:pPr>
        <w:autoSpaceDE w:val="0"/>
        <w:autoSpaceDN w:val="0"/>
        <w:adjustRightInd w:val="0"/>
        <w:spacing w:line="560" w:lineRule="exact"/>
        <w:jc w:val="left"/>
        <w:rPr>
          <w:rFonts w:ascii="方正小标宋简体" w:eastAsia="方正小标宋简体"/>
          <w:color w:val="000000"/>
          <w:sz w:val="36"/>
          <w:szCs w:val="36"/>
        </w:rPr>
      </w:pPr>
    </w:p>
    <w:p>
      <w:r>
        <w:rPr>
          <w:rFonts w:hint="eastAsia" w:ascii="仿宋_GB2312" w:eastAsia="仿宋_GB2312"/>
          <w:color w:val="000000"/>
          <w:sz w:val="32"/>
          <w:szCs w:val="32"/>
        </w:rPr>
        <w:t>附件：北京市劳动人民文化宫</w:t>
      </w:r>
      <w:r>
        <w:rPr>
          <w:rFonts w:hint="eastAsia" w:ascii="仿宋_GB2312" w:eastAsia="仿宋_GB2312"/>
          <w:color w:val="000000"/>
          <w:sz w:val="32"/>
          <w:szCs w:val="32"/>
          <w:lang w:eastAsia="zh-CN"/>
        </w:rPr>
        <w:t>2023年</w:t>
      </w:r>
      <w:r>
        <w:rPr>
          <w:rFonts w:hint="eastAsia" w:ascii="仿宋_GB2312" w:eastAsia="仿宋_GB2312"/>
          <w:color w:val="000000"/>
          <w:sz w:val="32"/>
          <w:szCs w:val="32"/>
        </w:rPr>
        <w:t>度单位预算报表</w:t>
      </w:r>
      <w:r>
        <w:rPr>
          <w:rFonts w:hint="eastAsia" w:ascii="仿宋_GB2312" w:eastAsia="仿宋_GB2312" w:cs="宋体"/>
          <w:color w:val="000000"/>
          <w:kern w:val="0"/>
          <w:sz w:val="32"/>
          <w:szCs w:val="32"/>
          <w:lang w:val="zh-CN"/>
        </w:rPr>
        <w:t xml:space="preserve">  </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Droid Sans">
    <w:altName w:val="方正宋体S-超大字符集(SIP)"/>
    <w:panose1 w:val="00000000000000000000"/>
    <w:charset w:val="00"/>
    <w:family w:val="auto"/>
    <w:pitch w:val="default"/>
    <w:sig w:usb0="00000000" w:usb1="00000000" w:usb2="00000000" w:usb3="00000000" w:csb0="00000000" w:csb1="00000000"/>
  </w:font>
  <w:font w:name="Cambria">
    <w:altName w:val="Noto Sans Syriac Eastern"/>
    <w:panose1 w:val="02040503050406030204"/>
    <w:charset w:val="00"/>
    <w:family w:val="roman"/>
    <w:pitch w:val="default"/>
    <w:sig w:usb0="00000000" w:usb1="00000000" w:usb2="00000000" w:usb3="00000000" w:csb0="2000019F" w:csb1="00000000"/>
  </w:font>
  <w:font w:name="Arial Unicode MS">
    <w:altName w:val="DejaVu Sans"/>
    <w:panose1 w:val="020B0604020202020204"/>
    <w:charset w:val="86"/>
    <w:family w:val="swiss"/>
    <w:pitch w:val="default"/>
    <w:sig w:usb0="00000000" w:usb1="00000000" w:usb2="0000003F" w:usb3="00000000" w:csb0="003F01FF" w:csb1="00000000"/>
  </w:font>
  <w:font w:name="方正小标宋简体">
    <w:panose1 w:val="02000000000000000000"/>
    <w:charset w:val="86"/>
    <w:family w:val="auto"/>
    <w:pitch w:val="default"/>
    <w:sig w:usb0="A00002BF" w:usb1="184F6CFA" w:usb2="00000012" w:usb3="00000000" w:csb0="00040001" w:csb1="00000000"/>
  </w:font>
  <w:font w:name="仿宋_GB2312">
    <w:altName w:val="方正仿宋_GBK"/>
    <w:panose1 w:val="02010609030101010101"/>
    <w:charset w:val="86"/>
    <w:family w:val="modern"/>
    <w:pitch w:val="default"/>
    <w:sig w:usb0="00000000" w:usb1="00000000" w:usb2="00000000" w:usb3="00000000" w:csb0="00040000" w:csb1="00000000"/>
  </w:font>
  <w:font w:name="楷体_GB2312">
    <w:altName w:val="方正楷体_GBK"/>
    <w:panose1 w:val="02010609030101010101"/>
    <w:charset w:val="86"/>
    <w:family w:val="modern"/>
    <w:pitch w:val="default"/>
    <w:sig w:usb0="00000000" w:usb1="00000000" w:usb2="00000010" w:usb3="00000000" w:csb0="00040000"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黑体_GBK">
    <w:panose1 w:val="02000000000000000000"/>
    <w:charset w:val="86"/>
    <w:family w:val="auto"/>
    <w:pitch w:val="default"/>
    <w:sig w:usb0="00000001" w:usb1="08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方正楷体_GBK">
    <w:panose1 w:val="02000000000000000000"/>
    <w:charset w:val="86"/>
    <w:family w:val="auto"/>
    <w:pitch w:val="default"/>
    <w:sig w:usb0="00000001" w:usb1="08000000" w:usb2="00000000" w:usb3="00000000" w:csb0="00040000" w:csb1="00000000"/>
  </w:font>
  <w:font w:name="Noto Sans Syriac Eastern">
    <w:panose1 w:val="02040503050306020203"/>
    <w:charset w:val="86"/>
    <w:family w:val="auto"/>
    <w:pitch w:val="default"/>
    <w:sig w:usb0="00000000" w:usb1="00000000" w:usb2="00000080" w:usb3="00000000" w:csb0="203E0161" w:csb1="D7FF0000"/>
  </w:font>
  <w:font w:name="方正宋体S-超大字符集">
    <w:panose1 w:val="02000000000000000000"/>
    <w:charset w:val="86"/>
    <w:family w:val="auto"/>
    <w:pitch w:val="default"/>
    <w:sig w:usb0="00000001" w:usb1="08000000" w:usb2="00000000" w:usb3="00000000" w:csb0="00040000" w:csb1="00000000"/>
  </w:font>
  <w:font w:name="仿宋_GB2312">
    <w:altName w:val="方正仿宋_GBK"/>
    <w:panose1 w:val="02010609030101010101"/>
    <w:charset w:val="00"/>
    <w:family w:val="modern"/>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right"/>
      <w:rPr>
        <w:rFonts w:ascii="宋体" w:hAnsi="宋体"/>
        <w:sz w:val="28"/>
        <w:szCs w:val="28"/>
      </w:rPr>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5</w:t>
    </w:r>
    <w:r>
      <w:rPr>
        <w:rFonts w:ascii="宋体" w:hAnsi="宋体"/>
        <w:sz w:val="28"/>
        <w:szCs w:val="28"/>
      </w:rPr>
      <w:fldChar w:fldCharType="end"/>
    </w:r>
  </w:p>
  <w:p>
    <w:pPr>
      <w:pStyle w:val="5"/>
      <w:ind w:right="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C8FFF3C"/>
    <w:multiLevelType w:val="singleLevel"/>
    <w:tmpl w:val="EC8FFF3C"/>
    <w:lvl w:ilvl="0" w:tentative="0">
      <w:start w:val="2"/>
      <w:numFmt w:val="chineseCounting"/>
      <w:suff w:val="nothing"/>
      <w:lvlText w:val="%1、"/>
      <w:lvlJc w:val="left"/>
      <w:rPr>
        <w:rFonts w:hint="eastAsia"/>
      </w:rPr>
    </w:lvl>
  </w:abstractNum>
  <w:abstractNum w:abstractNumId="1">
    <w:nsid w:val="FFEF8D40"/>
    <w:multiLevelType w:val="singleLevel"/>
    <w:tmpl w:val="FFEF8D40"/>
    <w:lvl w:ilvl="0" w:tentative="0">
      <w:start w:val="3"/>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ZDZlNGJkYTBjZjc0NmEyYWJjMmZjZTExZmViNWUyZWIifQ=="/>
  </w:docVars>
  <w:rsids>
    <w:rsidRoot w:val="0083542B"/>
    <w:rsid w:val="00023DE1"/>
    <w:rsid w:val="00035812"/>
    <w:rsid w:val="00117F5F"/>
    <w:rsid w:val="0014236C"/>
    <w:rsid w:val="0015457E"/>
    <w:rsid w:val="00185F7A"/>
    <w:rsid w:val="00262CFD"/>
    <w:rsid w:val="0027678F"/>
    <w:rsid w:val="00346FBE"/>
    <w:rsid w:val="00354C02"/>
    <w:rsid w:val="00373F45"/>
    <w:rsid w:val="00374207"/>
    <w:rsid w:val="004512CE"/>
    <w:rsid w:val="00471CE7"/>
    <w:rsid w:val="004A1265"/>
    <w:rsid w:val="004B5A3B"/>
    <w:rsid w:val="005637EB"/>
    <w:rsid w:val="00590693"/>
    <w:rsid w:val="005D2DBD"/>
    <w:rsid w:val="005F4741"/>
    <w:rsid w:val="00654509"/>
    <w:rsid w:val="006A747C"/>
    <w:rsid w:val="006F343A"/>
    <w:rsid w:val="007070FA"/>
    <w:rsid w:val="0079211A"/>
    <w:rsid w:val="008136D7"/>
    <w:rsid w:val="008236A1"/>
    <w:rsid w:val="0083542B"/>
    <w:rsid w:val="0089797D"/>
    <w:rsid w:val="008C5270"/>
    <w:rsid w:val="009E2D15"/>
    <w:rsid w:val="00A7474F"/>
    <w:rsid w:val="00A867F7"/>
    <w:rsid w:val="00AF5A5E"/>
    <w:rsid w:val="00B61E62"/>
    <w:rsid w:val="00B750B5"/>
    <w:rsid w:val="00CB5F08"/>
    <w:rsid w:val="00CF3FED"/>
    <w:rsid w:val="00D06CE9"/>
    <w:rsid w:val="00DB0EA4"/>
    <w:rsid w:val="00E165B8"/>
    <w:rsid w:val="00E35892"/>
    <w:rsid w:val="00E36D60"/>
    <w:rsid w:val="00E9047F"/>
    <w:rsid w:val="00EA3D45"/>
    <w:rsid w:val="00EC557E"/>
    <w:rsid w:val="00ED4961"/>
    <w:rsid w:val="00F534C4"/>
    <w:rsid w:val="00F623DF"/>
    <w:rsid w:val="00FA4204"/>
    <w:rsid w:val="00FF0109"/>
    <w:rsid w:val="011C2C5C"/>
    <w:rsid w:val="02BD2CCB"/>
    <w:rsid w:val="030D76A7"/>
    <w:rsid w:val="03674C46"/>
    <w:rsid w:val="039858D7"/>
    <w:rsid w:val="04817EB9"/>
    <w:rsid w:val="05D5370F"/>
    <w:rsid w:val="06F9676B"/>
    <w:rsid w:val="07215410"/>
    <w:rsid w:val="07294AEE"/>
    <w:rsid w:val="0975250C"/>
    <w:rsid w:val="09E95AA9"/>
    <w:rsid w:val="0A44298C"/>
    <w:rsid w:val="0B3D7371"/>
    <w:rsid w:val="0B9F6E07"/>
    <w:rsid w:val="0D1D02CB"/>
    <w:rsid w:val="0DD66DD1"/>
    <w:rsid w:val="0E0128C2"/>
    <w:rsid w:val="0EB8115D"/>
    <w:rsid w:val="0F284746"/>
    <w:rsid w:val="0F7A7C6A"/>
    <w:rsid w:val="0F8245A0"/>
    <w:rsid w:val="101235B6"/>
    <w:rsid w:val="108847D0"/>
    <w:rsid w:val="1181130B"/>
    <w:rsid w:val="118E10CC"/>
    <w:rsid w:val="11BA1C5D"/>
    <w:rsid w:val="122B6406"/>
    <w:rsid w:val="15A75C48"/>
    <w:rsid w:val="17291D8C"/>
    <w:rsid w:val="17527B63"/>
    <w:rsid w:val="185019F9"/>
    <w:rsid w:val="19990196"/>
    <w:rsid w:val="19F06728"/>
    <w:rsid w:val="1BDF709B"/>
    <w:rsid w:val="1C331C47"/>
    <w:rsid w:val="1CD93F08"/>
    <w:rsid w:val="1E22708F"/>
    <w:rsid w:val="1E35010F"/>
    <w:rsid w:val="1E893257"/>
    <w:rsid w:val="1EC6117B"/>
    <w:rsid w:val="1EEB57A3"/>
    <w:rsid w:val="1EF1268E"/>
    <w:rsid w:val="1EFF278F"/>
    <w:rsid w:val="1F1C0DD2"/>
    <w:rsid w:val="204C5581"/>
    <w:rsid w:val="22137DF3"/>
    <w:rsid w:val="2277352A"/>
    <w:rsid w:val="22872427"/>
    <w:rsid w:val="22DF4FB7"/>
    <w:rsid w:val="234341F7"/>
    <w:rsid w:val="23F753DD"/>
    <w:rsid w:val="24315613"/>
    <w:rsid w:val="24FB35A7"/>
    <w:rsid w:val="2507506A"/>
    <w:rsid w:val="260F7C27"/>
    <w:rsid w:val="26A13A6B"/>
    <w:rsid w:val="26C83662"/>
    <w:rsid w:val="26D712AB"/>
    <w:rsid w:val="28295A11"/>
    <w:rsid w:val="283E6F93"/>
    <w:rsid w:val="284A66AB"/>
    <w:rsid w:val="2B3B3107"/>
    <w:rsid w:val="2B9274E9"/>
    <w:rsid w:val="2C4C5AE8"/>
    <w:rsid w:val="2C8C0A21"/>
    <w:rsid w:val="2D8B2D0C"/>
    <w:rsid w:val="2EAE2D74"/>
    <w:rsid w:val="2F0D305A"/>
    <w:rsid w:val="2F1078A8"/>
    <w:rsid w:val="31122F42"/>
    <w:rsid w:val="31437106"/>
    <w:rsid w:val="31C54FE0"/>
    <w:rsid w:val="33E118EB"/>
    <w:rsid w:val="33F247AD"/>
    <w:rsid w:val="34F47897"/>
    <w:rsid w:val="34FF0E00"/>
    <w:rsid w:val="35895F61"/>
    <w:rsid w:val="35B81A63"/>
    <w:rsid w:val="380F7EA3"/>
    <w:rsid w:val="39064F46"/>
    <w:rsid w:val="393152B7"/>
    <w:rsid w:val="39C82A8F"/>
    <w:rsid w:val="39C942EF"/>
    <w:rsid w:val="3A5F275A"/>
    <w:rsid w:val="3AD82226"/>
    <w:rsid w:val="3AE62567"/>
    <w:rsid w:val="3B074573"/>
    <w:rsid w:val="3B20637D"/>
    <w:rsid w:val="3D035F06"/>
    <w:rsid w:val="3E0072AD"/>
    <w:rsid w:val="42843985"/>
    <w:rsid w:val="429D4013"/>
    <w:rsid w:val="42CD399F"/>
    <w:rsid w:val="43474348"/>
    <w:rsid w:val="43786BF8"/>
    <w:rsid w:val="43EA3701"/>
    <w:rsid w:val="44493BF6"/>
    <w:rsid w:val="44BE4335"/>
    <w:rsid w:val="4538195A"/>
    <w:rsid w:val="45921CCB"/>
    <w:rsid w:val="459F2946"/>
    <w:rsid w:val="472B51B3"/>
    <w:rsid w:val="47C725E6"/>
    <w:rsid w:val="47FC1AF8"/>
    <w:rsid w:val="48040F97"/>
    <w:rsid w:val="48177337"/>
    <w:rsid w:val="482D5FA8"/>
    <w:rsid w:val="4842263B"/>
    <w:rsid w:val="49795FEE"/>
    <w:rsid w:val="4A5F3AFD"/>
    <w:rsid w:val="4A911DA9"/>
    <w:rsid w:val="4A987C49"/>
    <w:rsid w:val="4AA85671"/>
    <w:rsid w:val="4B8F74A6"/>
    <w:rsid w:val="4D825079"/>
    <w:rsid w:val="4D9D5DC3"/>
    <w:rsid w:val="4E2E7679"/>
    <w:rsid w:val="4E68431C"/>
    <w:rsid w:val="4F7761AD"/>
    <w:rsid w:val="4F786304"/>
    <w:rsid w:val="4F8155A6"/>
    <w:rsid w:val="507153D7"/>
    <w:rsid w:val="50A608D1"/>
    <w:rsid w:val="51A313A2"/>
    <w:rsid w:val="51EC550E"/>
    <w:rsid w:val="523F14B6"/>
    <w:rsid w:val="52A05035"/>
    <w:rsid w:val="53403030"/>
    <w:rsid w:val="54463CC4"/>
    <w:rsid w:val="545C007F"/>
    <w:rsid w:val="5570687E"/>
    <w:rsid w:val="56500B6B"/>
    <w:rsid w:val="58813668"/>
    <w:rsid w:val="59D538CC"/>
    <w:rsid w:val="5A2539DA"/>
    <w:rsid w:val="5A3B1400"/>
    <w:rsid w:val="5A44584D"/>
    <w:rsid w:val="5B3B3074"/>
    <w:rsid w:val="5B8B37B0"/>
    <w:rsid w:val="5B962B6B"/>
    <w:rsid w:val="5BED4999"/>
    <w:rsid w:val="5CC7022F"/>
    <w:rsid w:val="5CDF65CA"/>
    <w:rsid w:val="5D8E6F19"/>
    <w:rsid w:val="5D9C143B"/>
    <w:rsid w:val="5E0E6F02"/>
    <w:rsid w:val="5E21352C"/>
    <w:rsid w:val="5ECD3355"/>
    <w:rsid w:val="5ECE0F0E"/>
    <w:rsid w:val="5FAA6A74"/>
    <w:rsid w:val="60CE5DB0"/>
    <w:rsid w:val="60E553E0"/>
    <w:rsid w:val="65281752"/>
    <w:rsid w:val="6760109C"/>
    <w:rsid w:val="68295E19"/>
    <w:rsid w:val="68CB7079"/>
    <w:rsid w:val="68D537FF"/>
    <w:rsid w:val="68D92C17"/>
    <w:rsid w:val="68EA391B"/>
    <w:rsid w:val="69476137"/>
    <w:rsid w:val="69C7035E"/>
    <w:rsid w:val="69CD236D"/>
    <w:rsid w:val="6D232704"/>
    <w:rsid w:val="6E671E2C"/>
    <w:rsid w:val="6F213E96"/>
    <w:rsid w:val="7255004E"/>
    <w:rsid w:val="728B6511"/>
    <w:rsid w:val="73A63BA5"/>
    <w:rsid w:val="73DA078E"/>
    <w:rsid w:val="74AE6DA3"/>
    <w:rsid w:val="75745543"/>
    <w:rsid w:val="75C335B1"/>
    <w:rsid w:val="765B6090"/>
    <w:rsid w:val="76B027ED"/>
    <w:rsid w:val="76F31C74"/>
    <w:rsid w:val="78F04F51"/>
    <w:rsid w:val="79453695"/>
    <w:rsid w:val="79E9637C"/>
    <w:rsid w:val="7D8F23DB"/>
    <w:rsid w:val="7D9F7076"/>
    <w:rsid w:val="7DE95815"/>
    <w:rsid w:val="7F231565"/>
    <w:rsid w:val="7F7A3B6C"/>
    <w:rsid w:val="7F9E1665"/>
    <w:rsid w:val="BEFA3657"/>
    <w:rsid w:val="DFF307B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Droid Sans"/>
      <w:kern w:val="2"/>
      <w:sz w:val="21"/>
      <w:szCs w:val="24"/>
      <w:lang w:val="en-US" w:eastAsia="zh-CN" w:bidi="ar-SA"/>
    </w:rPr>
  </w:style>
  <w:style w:type="paragraph" w:styleId="2">
    <w:name w:val="heading 2"/>
    <w:basedOn w:val="1"/>
    <w:next w:val="1"/>
    <w:qFormat/>
    <w:uiPriority w:val="0"/>
    <w:pPr>
      <w:keepNext/>
      <w:keepLines/>
      <w:widowControl w:val="0"/>
      <w:spacing w:before="100" w:beforeAutospacing="1" w:after="100" w:afterAutospacing="1"/>
      <w:outlineLvl w:val="1"/>
    </w:pPr>
    <w:rPr>
      <w:rFonts w:ascii="Cambria" w:hAnsi="Cambria" w:eastAsia="黑体" w:cs="Times New Roman"/>
      <w:b/>
      <w:bCs/>
      <w:kern w:val="0"/>
      <w:sz w:val="36"/>
      <w:szCs w:val="32"/>
      <w:lang w:bidi="ar-SA"/>
    </w:rPr>
  </w:style>
  <w:style w:type="character" w:default="1" w:styleId="8">
    <w:name w:val="Default Paragraph Font"/>
    <w:unhideWhenUsed/>
    <w:qFormat/>
    <w:uiPriority w:val="1"/>
  </w:style>
  <w:style w:type="table" w:default="1" w:styleId="7">
    <w:name w:val="Normal Table"/>
    <w:unhideWhenUsed/>
    <w:qFormat/>
    <w:uiPriority w:val="99"/>
    <w:tblPr>
      <w:tblCellMar>
        <w:top w:w="0" w:type="dxa"/>
        <w:left w:w="108" w:type="dxa"/>
        <w:bottom w:w="0" w:type="dxa"/>
        <w:right w:w="108" w:type="dxa"/>
      </w:tblCellMar>
    </w:tblPr>
  </w:style>
  <w:style w:type="paragraph" w:styleId="3">
    <w:name w:val="Body Text"/>
    <w:basedOn w:val="1"/>
    <w:qFormat/>
    <w:uiPriority w:val="0"/>
    <w:pPr>
      <w:spacing w:after="120"/>
    </w:pPr>
    <w:rPr>
      <w:rFonts w:hint="eastAsia" w:ascii="Arial Unicode MS" w:hAnsi="Arial Unicode MS" w:eastAsia="Arial Unicode MS" w:cs="Arial Unicode MS"/>
      <w:color w:val="000000"/>
      <w:szCs w:val="21"/>
    </w:rPr>
  </w:style>
  <w:style w:type="paragraph" w:styleId="4">
    <w:name w:val="Balloon Text"/>
    <w:basedOn w:val="1"/>
    <w:link w:val="11"/>
    <w:unhideWhenUsed/>
    <w:qFormat/>
    <w:uiPriority w:val="99"/>
    <w:rPr>
      <w:sz w:val="18"/>
      <w:szCs w:val="18"/>
    </w:rPr>
  </w:style>
  <w:style w:type="paragraph" w:styleId="5">
    <w:name w:val="footer"/>
    <w:basedOn w:val="1"/>
    <w:link w:val="10"/>
    <w:unhideWhenUsed/>
    <w:qFormat/>
    <w:uiPriority w:val="99"/>
    <w:pPr>
      <w:tabs>
        <w:tab w:val="center" w:pos="4153"/>
        <w:tab w:val="right" w:pos="8306"/>
      </w:tabs>
      <w:snapToGrid w:val="0"/>
      <w:jc w:val="left"/>
    </w:pPr>
    <w:rPr>
      <w:sz w:val="18"/>
      <w:szCs w:val="18"/>
    </w:rPr>
  </w:style>
  <w:style w:type="paragraph" w:styleId="6">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9">
    <w:name w:val="页眉 Char"/>
    <w:basedOn w:val="8"/>
    <w:link w:val="6"/>
    <w:qFormat/>
    <w:uiPriority w:val="99"/>
    <w:rPr>
      <w:sz w:val="18"/>
      <w:szCs w:val="18"/>
    </w:rPr>
  </w:style>
  <w:style w:type="character" w:customStyle="1" w:styleId="10">
    <w:name w:val="页脚 Char"/>
    <w:basedOn w:val="8"/>
    <w:link w:val="5"/>
    <w:qFormat/>
    <w:uiPriority w:val="99"/>
    <w:rPr>
      <w:sz w:val="18"/>
      <w:szCs w:val="18"/>
    </w:rPr>
  </w:style>
  <w:style w:type="character" w:customStyle="1" w:styleId="11">
    <w:name w:val="批注框文本 Char"/>
    <w:basedOn w:val="8"/>
    <w:link w:val="4"/>
    <w:semiHidden/>
    <w:qFormat/>
    <w:uiPriority w:val="99"/>
    <w:rPr>
      <w:rFonts w:ascii="Times New Roman" w:hAnsi="Times New Roman" w:eastAsia="宋体" w:cs="Droid Sans"/>
      <w:sz w:val="18"/>
      <w:szCs w:val="18"/>
    </w:rPr>
  </w:style>
  <w:style w:type="paragraph" w:customStyle="1" w:styleId="12">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chart" Target="charts/chart2.xml"/><Relationship Id="rId5" Type="http://schemas.openxmlformats.org/officeDocument/2006/relationships/chart" Target="charts/chart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3" Type="http://schemas.microsoft.com/office/2011/relationships/chartColorStyle" Target="colors1.xml"/><Relationship Id="rId2" Type="http://schemas.microsoft.com/office/2011/relationships/chartStyle" Target="style1.xml"/><Relationship Id="rId1" Type="http://schemas.openxmlformats.org/officeDocument/2006/relationships/package" Target="../embeddings/Workbook1.xlsx"/></Relationships>
</file>

<file path=word/charts/_rels/chart2.xml.rels><?xml version="1.0" encoding="UTF-8" standalone="yes"?>
<Relationships xmlns="http://schemas.openxmlformats.org/package/2006/relationships"><Relationship Id="rId3" Type="http://schemas.microsoft.com/office/2011/relationships/chartColorStyle" Target="colors2.xml"/><Relationship Id="rId2" Type="http://schemas.microsoft.com/office/2011/relationships/chartStyle" Target="style2.xml"/><Relationship Id="rId1" Type="http://schemas.openxmlformats.org/officeDocument/2006/relationships/package" Target="../embeddings/Workbook2.xlsx"/></Relationships>
</file>

<file path=word/charts/chart1.xml><?xml version="1.0" encoding="utf-8"?>
<c:chartSpace xmlns:c="http://schemas.openxmlformats.org/drawingml/2006/chart" xmlns:a="http://schemas.openxmlformats.org/drawingml/2006/main" xmlns:r="http://schemas.openxmlformats.org/officeDocument/2006/relationships">
  <c:date1904 val="false"/>
  <c:lang val="zh-CN"/>
  <c:roundedCorners val="false"/>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true"/>
          <a:lstStyle/>
          <a:p>
            <a:pPr defTabSz="914400">
              <a:defRPr lang="zh-CN" sz="1680" b="0" i="0" u="none" strike="noStrike" kern="1200" spc="0" baseline="0">
                <a:solidFill>
                  <a:schemeClr val="tx1">
                    <a:lumMod val="65000"/>
                    <a:lumOff val="35000"/>
                  </a:schemeClr>
                </a:solidFill>
                <a:latin typeface="+mn-lt"/>
                <a:ea typeface="+mn-ea"/>
                <a:cs typeface="+mn-cs"/>
              </a:defRPr>
            </a:pPr>
            <a:r>
              <a:rPr sz="1680"/>
              <a:t>收入预算</a:t>
            </a:r>
            <a:endParaRPr sz="1680"/>
          </a:p>
        </c:rich>
      </c:tx>
      <c:layout/>
      <c:overlay val="false"/>
      <c:spPr>
        <a:noFill/>
        <a:ln>
          <a:noFill/>
        </a:ln>
        <a:effectLst/>
      </c:spPr>
    </c:title>
    <c:autoTitleDeleted val="false"/>
    <c:plotArea>
      <c:layout>
        <c:manualLayout>
          <c:layoutTarget val="inner"/>
          <c:xMode val="edge"/>
          <c:yMode val="edge"/>
          <c:x val="0.308977682747561"/>
          <c:y val="0.185325602140946"/>
          <c:w val="0.387144193505279"/>
          <c:h val="0.64607493309545"/>
        </c:manualLayout>
      </c:layout>
      <c:pieChart>
        <c:varyColors val="true"/>
        <c:ser>
          <c:idx val="0"/>
          <c:order val="0"/>
          <c:tx>
            <c:strRef>
              <c:f>Sheet1!$B$1</c:f>
              <c:strCache>
                <c:ptCount val="1"/>
                <c:pt idx="0">
                  <c:v>收入预算</c:v>
                </c:pt>
              </c:strCache>
            </c:strRef>
          </c:tx>
          <c:spPr/>
          <c:explosion val="0"/>
          <c:dPt>
            <c:idx val="0"/>
            <c:bubble3D val="false"/>
            <c:spPr>
              <a:solidFill>
                <a:schemeClr val="accent1"/>
              </a:solidFill>
              <a:ln w="19050">
                <a:solidFill>
                  <a:schemeClr val="lt1"/>
                </a:solidFill>
              </a:ln>
              <a:effectLst/>
            </c:spPr>
          </c:dPt>
          <c:dPt>
            <c:idx val="1"/>
            <c:bubble3D val="false"/>
            <c:spPr>
              <a:solidFill>
                <a:schemeClr val="accent2"/>
              </a:solidFill>
              <a:ln w="19050">
                <a:solidFill>
                  <a:schemeClr val="lt1"/>
                </a:solidFill>
              </a:ln>
              <a:effectLst/>
            </c:spPr>
          </c:dPt>
          <c:dLbls>
            <c:dLbl>
              <c:idx val="0"/>
              <c:layout>
                <c:manualLayout>
                  <c:x val="0.134022756993214"/>
                  <c:y val="-0.0464875505990796"/>
                </c:manualLayout>
              </c:layout>
              <c:dLblPos val="bestFit"/>
              <c:showLegendKey val="false"/>
              <c:showVal val="true"/>
              <c:showCatName val="false"/>
              <c:showSerName val="false"/>
              <c:showPercent val="false"/>
              <c:showBubbleSize val="false"/>
              <c:extLst>
                <c:ext xmlns:c15="http://schemas.microsoft.com/office/drawing/2012/chart" uri="{CE6537A1-D6FC-4f65-9D91-7224C49458BB}">
                  <c15:layout>
                    <c:manualLayout>
                      <c:w val="0.18475"/>
                      <c:h val="0.125666666666667"/>
                    </c:manualLayout>
                  </c15:layout>
                </c:ext>
              </c:extLst>
            </c:dLbl>
            <c:dLbl>
              <c:idx val="1"/>
              <c:layout>
                <c:manualLayout>
                  <c:x val="-0.0627727641531466"/>
                  <c:y val="-0.0160124441855839"/>
                </c:manualLayout>
              </c:layout>
              <c:dLblPos val="bestFit"/>
              <c:showLegendKey val="false"/>
              <c:showVal val="true"/>
              <c:showCatName val="false"/>
              <c:showSerName val="false"/>
              <c:showPercent val="false"/>
              <c:showBubbleSize val="false"/>
              <c:extLst>
                <c:ext xmlns:c15="http://schemas.microsoft.com/office/drawing/2012/chart" uri="{CE6537A1-D6FC-4f65-9D91-7224C49458BB}">
                  <c15:layout>
                    <c:manualLayout>
                      <c:w val="0.152"/>
                      <c:h val="0.12"/>
                    </c:manualLayout>
                  </c15:layout>
                </c:ext>
              </c:extLst>
            </c:dLbl>
            <c:numFmt formatCode="General" sourceLinked="true"/>
            <c:spPr>
              <a:noFill/>
              <a:ln>
                <a:noFill/>
              </a:ln>
              <a:effectLst/>
            </c:spPr>
            <c:txPr>
              <a:bodyPr rot="0" spcFirstLastPara="0" vertOverflow="ellipsis" vert="horz" wrap="square" lIns="38100" tIns="19050" rIns="38100" bIns="19050" anchor="ctr" anchorCtr="true"/>
              <a:lstStyle/>
              <a:p>
                <a:pPr>
                  <a:defRPr lang="zh-CN" sz="1400" b="0" i="0" u="none" strike="noStrike" kern="1200" baseline="0">
                    <a:solidFill>
                      <a:schemeClr val="tx1">
                        <a:lumMod val="75000"/>
                        <a:lumOff val="25000"/>
                      </a:schemeClr>
                    </a:solidFill>
                    <a:latin typeface="+mn-lt"/>
                    <a:ea typeface="+mn-ea"/>
                    <a:cs typeface="+mn-cs"/>
                  </a:defRPr>
                </a:pPr>
              </a:p>
            </c:txPr>
            <c:dLblPos val="bestFit"/>
            <c:showLegendKey val="false"/>
            <c:showVal val="true"/>
            <c:showCatName val="false"/>
            <c:showSerName val="false"/>
            <c:showPercent val="false"/>
            <c:showBubbleSize val="false"/>
            <c:showLeaderLines val="true"/>
            <c:extLst>
              <c:ext xmlns:c15="http://schemas.microsoft.com/office/drawing/2012/chart" uri="{CE6537A1-D6FC-4f65-9D91-7224C49458BB}">
                <c15:layout/>
                <c15:showLeaderLines val="true"/>
                <c15:leaderLines>
                  <c:spPr>
                    <a:ln w="9525" cap="flat" cmpd="sng" algn="ctr">
                      <a:solidFill>
                        <a:schemeClr val="tx1">
                          <a:lumMod val="35000"/>
                          <a:lumOff val="65000"/>
                        </a:schemeClr>
                      </a:solidFill>
                      <a:round/>
                    </a:ln>
                    <a:effectLst/>
                  </c:spPr>
                </c15:leaderLines>
              </c:ext>
            </c:extLst>
          </c:dLbls>
          <c:cat>
            <c:strRef>
              <c:f>Sheet1!$A$2:$A$3</c:f>
              <c:strCache>
                <c:ptCount val="2"/>
                <c:pt idx="0">
                  <c:v>一般公共预算拨款收入</c:v>
                </c:pt>
                <c:pt idx="1">
                  <c:v>上年结转结余</c:v>
                </c:pt>
              </c:strCache>
            </c:strRef>
          </c:cat>
          <c:val>
            <c:numRef>
              <c:f>Sheet1!$B$2:$B$3</c:f>
              <c:numCache>
                <c:formatCode>0%</c:formatCode>
                <c:ptCount val="2"/>
                <c:pt idx="0">
                  <c:v>0.71</c:v>
                </c:pt>
                <c:pt idx="1">
                  <c:v>0.29</c:v>
                </c:pt>
              </c:numCache>
            </c:numRef>
          </c:val>
        </c:ser>
        <c:dLbls>
          <c:showLegendKey val="false"/>
          <c:showVal val="true"/>
          <c:showCatName val="false"/>
          <c:showSerName val="false"/>
          <c:showPercent val="false"/>
          <c:showBubbleSize val="false"/>
          <c:showLeaderLines val="true"/>
        </c:dLbls>
        <c:firstSliceAng val="8"/>
      </c:pieChart>
      <c:spPr>
        <a:noFill/>
        <a:ln>
          <a:noFill/>
        </a:ln>
        <a:effectLst/>
      </c:spPr>
    </c:plotArea>
    <c:legend>
      <c:legendPos val="b"/>
      <c:legendEntry>
        <c:idx val="0"/>
        <c:txPr>
          <a:bodyPr rot="0" spcFirstLastPara="0" vertOverflow="ellipsis" vert="horz" wrap="square" anchor="ctr" anchorCtr="true"/>
          <a:lstStyle/>
          <a:p>
            <a:pPr>
              <a:defRPr lang="zh-CN" sz="1400" b="0" i="0" u="none" strike="noStrike" kern="1200" baseline="0">
                <a:solidFill>
                  <a:schemeClr val="tx1">
                    <a:lumMod val="65000"/>
                    <a:lumOff val="35000"/>
                  </a:schemeClr>
                </a:solidFill>
                <a:latin typeface="+mn-lt"/>
                <a:ea typeface="+mn-ea"/>
                <a:cs typeface="+mn-cs"/>
              </a:defRPr>
            </a:pPr>
          </a:p>
        </c:txPr>
      </c:legendEntry>
      <c:legendEntry>
        <c:idx val="1"/>
        <c:txPr>
          <a:bodyPr rot="0" spcFirstLastPara="0" vertOverflow="ellipsis" vert="horz" wrap="square" anchor="ctr" anchorCtr="true"/>
          <a:lstStyle/>
          <a:p>
            <a:pPr>
              <a:defRPr lang="zh-CN" sz="1400" b="0" i="0" u="none" strike="noStrike" kern="1200" baseline="0">
                <a:solidFill>
                  <a:schemeClr val="tx1">
                    <a:lumMod val="65000"/>
                    <a:lumOff val="35000"/>
                  </a:schemeClr>
                </a:solidFill>
                <a:latin typeface="+mn-lt"/>
                <a:ea typeface="+mn-ea"/>
                <a:cs typeface="+mn-cs"/>
              </a:defRPr>
            </a:pPr>
          </a:p>
        </c:txPr>
      </c:legendEntry>
      <c:layout/>
      <c:overlay val="false"/>
      <c:spPr>
        <a:noFill/>
        <a:ln>
          <a:noFill/>
        </a:ln>
        <a:effectLst/>
      </c:spPr>
      <c:txPr>
        <a:bodyPr rot="0" spcFirstLastPara="0" vertOverflow="ellipsis" vert="horz" wrap="square" anchor="ctr" anchorCtr="true"/>
        <a:lstStyle/>
        <a:p>
          <a:pPr>
            <a:defRPr lang="zh-CN" sz="1400" b="0" i="0" u="none" strike="noStrike" kern="1200" baseline="0">
              <a:solidFill>
                <a:schemeClr val="tx1">
                  <a:lumMod val="65000"/>
                  <a:lumOff val="35000"/>
                </a:schemeClr>
              </a:solidFill>
              <a:latin typeface="+mn-lt"/>
              <a:ea typeface="+mn-ea"/>
              <a:cs typeface="+mn-cs"/>
            </a:defRPr>
          </a:pPr>
        </a:p>
      </c:txPr>
    </c:legend>
    <c:plotVisOnly val="true"/>
    <c:dispBlanksAs val="gap"/>
    <c:showDLblsOverMax val="false"/>
  </c:chart>
  <c:spPr>
    <a:solidFill>
      <a:schemeClr val="bg1"/>
    </a:solidFill>
    <a:ln w="9525" cap="flat" cmpd="sng" algn="ctr">
      <a:solidFill>
        <a:schemeClr val="tx1">
          <a:lumMod val="15000"/>
          <a:lumOff val="85000"/>
        </a:schemeClr>
      </a:solidFill>
      <a:round/>
    </a:ln>
    <a:effectLst/>
  </c:spPr>
  <c:txPr>
    <a:bodyPr/>
    <a:lstStyle/>
    <a:p>
      <a:pPr>
        <a:defRPr lang="zh-CN" sz="1400"/>
      </a:pPr>
    </a:p>
  </c:txPr>
  <c:externalData r:id="rId1">
    <c:autoUpdate val="false"/>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false"/>
  <c:lang val="zh-CN"/>
  <c:roundedCorners val="false"/>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true"/>
          <a:lstStyle/>
          <a:p>
            <a:pPr defTabSz="914400">
              <a:defRPr lang="zh-CN" sz="1680" b="0" i="0" u="none" strike="noStrike" kern="1200" spc="0" baseline="0">
                <a:solidFill>
                  <a:schemeClr val="tx1">
                    <a:lumMod val="65000"/>
                    <a:lumOff val="35000"/>
                  </a:schemeClr>
                </a:solidFill>
                <a:latin typeface="+mn-lt"/>
                <a:ea typeface="+mn-ea"/>
                <a:cs typeface="+mn-cs"/>
              </a:defRPr>
            </a:pPr>
            <a:r>
              <a:rPr sz="1680"/>
              <a:t>支出预算</a:t>
            </a:r>
            <a:endParaRPr sz="1680"/>
          </a:p>
        </c:rich>
      </c:tx>
      <c:layout/>
      <c:overlay val="false"/>
      <c:spPr>
        <a:noFill/>
        <a:ln>
          <a:noFill/>
        </a:ln>
        <a:effectLst/>
      </c:spPr>
    </c:title>
    <c:autoTitleDeleted val="false"/>
    <c:plotArea>
      <c:layout>
        <c:manualLayout>
          <c:layoutTarget val="inner"/>
          <c:xMode val="edge"/>
          <c:yMode val="edge"/>
          <c:x val="0.308977682747561"/>
          <c:y val="0.185325602140946"/>
          <c:w val="0.387144193505279"/>
          <c:h val="0.64607493309545"/>
        </c:manualLayout>
      </c:layout>
      <c:pieChart>
        <c:varyColors val="true"/>
        <c:ser>
          <c:idx val="0"/>
          <c:order val="0"/>
          <c:tx>
            <c:strRef>
              <c:f>Sheet1!$B$1</c:f>
              <c:strCache>
                <c:ptCount val="1"/>
                <c:pt idx="0">
                  <c:v>支出预算</c:v>
                </c:pt>
              </c:strCache>
            </c:strRef>
          </c:tx>
          <c:spPr/>
          <c:explosion val="0"/>
          <c:dPt>
            <c:idx val="0"/>
            <c:bubble3D val="false"/>
            <c:spPr>
              <a:solidFill>
                <a:schemeClr val="accent1"/>
              </a:solidFill>
              <a:ln w="19050">
                <a:solidFill>
                  <a:schemeClr val="lt1"/>
                </a:solidFill>
              </a:ln>
              <a:effectLst/>
            </c:spPr>
          </c:dPt>
          <c:dPt>
            <c:idx val="1"/>
            <c:bubble3D val="false"/>
            <c:spPr>
              <a:solidFill>
                <a:schemeClr val="accent2"/>
              </a:solidFill>
              <a:ln w="19050">
                <a:solidFill>
                  <a:schemeClr val="lt1"/>
                </a:solidFill>
              </a:ln>
              <a:effectLst/>
            </c:spPr>
          </c:dPt>
          <c:dLbls>
            <c:dLbl>
              <c:idx val="0"/>
              <c:layout>
                <c:manualLayout>
                  <c:x val="0.0566305057177223"/>
                  <c:y val="-0.00182518516400993"/>
                </c:manualLayout>
              </c:layout>
              <c:dLblPos val="bestFit"/>
              <c:showLegendKey val="false"/>
              <c:showVal val="true"/>
              <c:showCatName val="false"/>
              <c:showSerName val="false"/>
              <c:showPercent val="false"/>
              <c:showBubbleSize val="false"/>
              <c:extLst>
                <c:ext xmlns:c15="http://schemas.microsoft.com/office/drawing/2012/chart" uri="{CE6537A1-D6FC-4f65-9D91-7224C49458BB}">
                  <c15:layout/>
                </c:ext>
              </c:extLst>
            </c:dLbl>
            <c:dLbl>
              <c:idx val="1"/>
              <c:layout>
                <c:manualLayout>
                  <c:x val="-0.0397555060450437"/>
                  <c:y val="-0.0381748129399018"/>
                </c:manualLayout>
              </c:layout>
              <c:dLblPos val="bestFit"/>
              <c:showLegendKey val="false"/>
              <c:showVal val="true"/>
              <c:showCatName val="false"/>
              <c:showSerName val="false"/>
              <c:showPercent val="false"/>
              <c:showBubbleSize val="false"/>
              <c:extLst>
                <c:ext xmlns:c15="http://schemas.microsoft.com/office/drawing/2012/chart" uri="{CE6537A1-D6FC-4f65-9D91-7224C49458BB}">
                  <c15:layout/>
                </c:ext>
              </c:extLst>
            </c:dLbl>
            <c:numFmt formatCode="General" sourceLinked="true"/>
            <c:spPr>
              <a:noFill/>
              <a:ln>
                <a:noFill/>
              </a:ln>
              <a:effectLst/>
            </c:spPr>
            <c:txPr>
              <a:bodyPr rot="0" spcFirstLastPara="0" vertOverflow="ellipsis" vert="horz" wrap="square" lIns="38100" tIns="19050" rIns="38100" bIns="19050" anchor="ctr" anchorCtr="true"/>
              <a:lstStyle/>
              <a:p>
                <a:pPr>
                  <a:defRPr lang="zh-CN" sz="1400" b="0" i="0" u="none" strike="noStrike" kern="1200" baseline="0">
                    <a:solidFill>
                      <a:schemeClr val="tx1">
                        <a:lumMod val="75000"/>
                        <a:lumOff val="25000"/>
                      </a:schemeClr>
                    </a:solidFill>
                    <a:latin typeface="+mn-lt"/>
                    <a:ea typeface="+mn-ea"/>
                    <a:cs typeface="+mn-cs"/>
                  </a:defRPr>
                </a:pPr>
              </a:p>
            </c:txPr>
            <c:dLblPos val="bestFit"/>
            <c:showLegendKey val="false"/>
            <c:showVal val="true"/>
            <c:showCatName val="false"/>
            <c:showSerName val="false"/>
            <c:showPercent val="false"/>
            <c:showBubbleSize val="false"/>
            <c:showLeaderLines val="true"/>
            <c:extLst>
              <c:ext xmlns:c15="http://schemas.microsoft.com/office/drawing/2012/chart" uri="{CE6537A1-D6FC-4f65-9D91-7224C49458BB}">
                <c15:layout/>
                <c15:showLeaderLines val="true"/>
                <c15:leaderLines>
                  <c:spPr>
                    <a:ln w="9525" cap="flat" cmpd="sng" algn="ctr">
                      <a:solidFill>
                        <a:schemeClr val="tx1">
                          <a:lumMod val="35000"/>
                          <a:lumOff val="65000"/>
                        </a:schemeClr>
                      </a:solidFill>
                      <a:round/>
                    </a:ln>
                    <a:effectLst/>
                  </c:spPr>
                </c15:leaderLines>
              </c:ext>
            </c:extLst>
          </c:dLbls>
          <c:cat>
            <c:strRef>
              <c:f>Sheet1!$A$2:$A$3</c:f>
              <c:strCache>
                <c:ptCount val="2"/>
                <c:pt idx="0">
                  <c:v>基本支出</c:v>
                </c:pt>
                <c:pt idx="1">
                  <c:v>项目支出</c:v>
                </c:pt>
              </c:strCache>
            </c:strRef>
          </c:cat>
          <c:val>
            <c:numRef>
              <c:f>Sheet1!$B$2:$B$3</c:f>
              <c:numCache>
                <c:formatCode>0%</c:formatCode>
                <c:ptCount val="2"/>
                <c:pt idx="0">
                  <c:v>0.554</c:v>
                </c:pt>
                <c:pt idx="1">
                  <c:v>0.446</c:v>
                </c:pt>
              </c:numCache>
            </c:numRef>
          </c:val>
        </c:ser>
        <c:dLbls>
          <c:showLegendKey val="false"/>
          <c:showVal val="true"/>
          <c:showCatName val="false"/>
          <c:showSerName val="false"/>
          <c:showPercent val="false"/>
          <c:showBubbleSize val="false"/>
          <c:showLeaderLines val="true"/>
        </c:dLbls>
        <c:firstSliceAng val="8"/>
      </c:pieChart>
      <c:spPr>
        <a:noFill/>
        <a:ln>
          <a:noFill/>
        </a:ln>
        <a:effectLst/>
      </c:spPr>
    </c:plotArea>
    <c:legend>
      <c:legendPos val="b"/>
      <c:legendEntry>
        <c:idx val="0"/>
        <c:txPr>
          <a:bodyPr rot="0" spcFirstLastPara="0" vertOverflow="ellipsis" vert="horz" wrap="square" anchor="ctr" anchorCtr="true"/>
          <a:lstStyle/>
          <a:p>
            <a:pPr>
              <a:defRPr lang="zh-CN" sz="1400" b="0" i="0" u="none" strike="noStrike" kern="1200" baseline="0">
                <a:solidFill>
                  <a:schemeClr val="tx1">
                    <a:lumMod val="65000"/>
                    <a:lumOff val="35000"/>
                  </a:schemeClr>
                </a:solidFill>
                <a:latin typeface="+mn-lt"/>
                <a:ea typeface="+mn-ea"/>
                <a:cs typeface="+mn-cs"/>
              </a:defRPr>
            </a:pPr>
          </a:p>
        </c:txPr>
      </c:legendEntry>
      <c:legendEntry>
        <c:idx val="1"/>
        <c:txPr>
          <a:bodyPr rot="0" spcFirstLastPara="0" vertOverflow="ellipsis" vert="horz" wrap="square" anchor="ctr" anchorCtr="true"/>
          <a:lstStyle/>
          <a:p>
            <a:pPr>
              <a:defRPr lang="zh-CN" sz="1400" b="0" i="0" u="none" strike="noStrike" kern="1200" baseline="0">
                <a:solidFill>
                  <a:schemeClr val="tx1">
                    <a:lumMod val="65000"/>
                    <a:lumOff val="35000"/>
                  </a:schemeClr>
                </a:solidFill>
                <a:latin typeface="+mn-lt"/>
                <a:ea typeface="+mn-ea"/>
                <a:cs typeface="+mn-cs"/>
              </a:defRPr>
            </a:pPr>
          </a:p>
        </c:txPr>
      </c:legendEntry>
      <c:layout/>
      <c:overlay val="false"/>
      <c:spPr>
        <a:noFill/>
        <a:ln>
          <a:noFill/>
        </a:ln>
        <a:effectLst/>
      </c:spPr>
      <c:txPr>
        <a:bodyPr rot="0" spcFirstLastPara="0" vertOverflow="ellipsis" vert="horz" wrap="square" anchor="ctr" anchorCtr="true"/>
        <a:lstStyle/>
        <a:p>
          <a:pPr>
            <a:defRPr lang="zh-CN" sz="1400" b="0" i="0" u="none" strike="noStrike" kern="1200" baseline="0">
              <a:solidFill>
                <a:schemeClr val="tx1">
                  <a:lumMod val="65000"/>
                  <a:lumOff val="35000"/>
                </a:schemeClr>
              </a:solidFill>
              <a:latin typeface="+mn-lt"/>
              <a:ea typeface="+mn-ea"/>
              <a:cs typeface="+mn-cs"/>
            </a:defRPr>
          </a:pPr>
        </a:p>
      </c:txPr>
    </c:legend>
    <c:plotVisOnly val="true"/>
    <c:dispBlanksAs val="gap"/>
    <c:showDLblsOverMax val="false"/>
  </c:chart>
  <c:spPr>
    <a:solidFill>
      <a:schemeClr val="bg1"/>
    </a:solidFill>
    <a:ln w="9525" cap="flat" cmpd="sng" algn="ctr">
      <a:solidFill>
        <a:schemeClr val="tx1">
          <a:lumMod val="15000"/>
          <a:lumOff val="85000"/>
        </a:schemeClr>
      </a:solidFill>
      <a:round/>
    </a:ln>
    <a:effectLst/>
  </c:spPr>
  <c:txPr>
    <a:bodyPr/>
    <a:lstStyle/>
    <a:p>
      <a:pPr>
        <a:defRPr lang="zh-CN" sz="1400"/>
      </a:pPr>
    </a:p>
  </c:txPr>
  <c:externalData r:id="rId1">
    <c:autoUpdate val="false"/>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true">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true">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8</Pages>
  <Words>2071</Words>
  <Characters>2291</Characters>
  <Lines>3</Lines>
  <Paragraphs>5</Paragraphs>
  <TotalTime>2</TotalTime>
  <ScaleCrop>false</ScaleCrop>
  <LinksUpToDate>false</LinksUpToDate>
  <CharactersWithSpaces>2306</CharactersWithSpaces>
  <Application>WPS Office_11.8.2.9849_F1E327BC-269C-435d-A152-05C5408002CA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2021-02-22T21:53:00Z</dcterms:created>
  <dc:creator>刘伟奇</dc:creator>
  <cp:lastModifiedBy>huyan</cp:lastModifiedBy>
  <cp:lastPrinted>2021-02-22T22:51:00Z</cp:lastPrinted>
  <dcterms:modified xsi:type="dcterms:W3CDTF">2023-03-07T16:44:55Z</dcterms:modified>
  <cp:revision>24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2052-11.8.2.9849</vt:lpwstr>
  </property>
  <property fmtid="{D5CDD505-2E9C-101B-9397-08002B2CF9AE}" pid="3" name="ICV">
    <vt:lpwstr>A7F499844C7E4520936274764DDA44D7</vt:lpwstr>
  </property>
</Properties>
</file>