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67A" w:rsidRDefault="004B1E7F">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2B067A" w:rsidRDefault="004B1E7F">
      <w:pPr>
        <w:spacing w:line="480" w:lineRule="exact"/>
        <w:jc w:val="center"/>
        <w:rPr>
          <w:rFonts w:ascii="仿宋_GB2312" w:eastAsia="仿宋_GB2312" w:hAnsi="宋体"/>
          <w:sz w:val="28"/>
          <w:szCs w:val="28"/>
        </w:rPr>
      </w:pPr>
      <w:r>
        <w:rPr>
          <w:rFonts w:ascii="仿宋_GB2312" w:eastAsia="仿宋_GB2312" w:hAnsi="宋体" w:hint="eastAsia"/>
          <w:sz w:val="28"/>
          <w:szCs w:val="28"/>
        </w:rPr>
        <w:t>（2021 年度）</w:t>
      </w:r>
      <w:bookmarkStart w:id="0" w:name="_GoBack"/>
      <w:bookmarkEnd w:id="0"/>
    </w:p>
    <w:p w:rsidR="002B067A" w:rsidRDefault="002B067A">
      <w:pPr>
        <w:spacing w:line="240" w:lineRule="exact"/>
        <w:rPr>
          <w:rFonts w:ascii="仿宋_GB2312" w:eastAsia="仿宋_GB2312" w:hAnsi="宋体"/>
          <w:sz w:val="30"/>
          <w:szCs w:val="30"/>
        </w:rPr>
      </w:pPr>
    </w:p>
    <w:tbl>
      <w:tblPr>
        <w:tblW w:w="9038" w:type="dxa"/>
        <w:jc w:val="center"/>
        <w:tblLayout w:type="fixed"/>
        <w:tblLook w:val="04A0"/>
      </w:tblPr>
      <w:tblGrid>
        <w:gridCol w:w="585"/>
        <w:gridCol w:w="675"/>
        <w:gridCol w:w="1405"/>
        <w:gridCol w:w="579"/>
        <w:gridCol w:w="1275"/>
        <w:gridCol w:w="283"/>
        <w:gridCol w:w="852"/>
        <w:gridCol w:w="845"/>
        <w:gridCol w:w="420"/>
        <w:gridCol w:w="143"/>
        <w:gridCol w:w="420"/>
        <w:gridCol w:w="202"/>
        <w:gridCol w:w="644"/>
        <w:gridCol w:w="710"/>
      </w:tblGrid>
      <w:tr w:rsidR="002B067A">
        <w:trPr>
          <w:trHeight w:hRule="exact" w:val="306"/>
          <w:jc w:val="center"/>
        </w:trPr>
        <w:tc>
          <w:tcPr>
            <w:tcW w:w="1260" w:type="dxa"/>
            <w:gridSpan w:val="2"/>
            <w:tcBorders>
              <w:top w:val="single" w:sz="4" w:space="0" w:color="auto"/>
              <w:left w:val="single" w:sz="4" w:space="0" w:color="auto"/>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项目名称</w:t>
            </w:r>
          </w:p>
        </w:tc>
        <w:tc>
          <w:tcPr>
            <w:tcW w:w="7778" w:type="dxa"/>
            <w:gridSpan w:val="1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太庙东垣设备用房迁移整治工程</w:t>
            </w:r>
          </w:p>
        </w:tc>
      </w:tr>
      <w:tr w:rsidR="002B067A">
        <w:trPr>
          <w:trHeight w:hRule="exact" w:val="306"/>
          <w:jc w:val="center"/>
        </w:trPr>
        <w:tc>
          <w:tcPr>
            <w:tcW w:w="1260" w:type="dxa"/>
            <w:gridSpan w:val="2"/>
            <w:tcBorders>
              <w:top w:val="single" w:sz="4" w:space="0" w:color="auto"/>
              <w:left w:val="single" w:sz="4" w:space="0" w:color="auto"/>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主管部门</w:t>
            </w:r>
          </w:p>
        </w:tc>
        <w:tc>
          <w:tcPr>
            <w:tcW w:w="4394" w:type="dxa"/>
            <w:gridSpan w:val="5"/>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北京市总工会</w:t>
            </w:r>
          </w:p>
        </w:tc>
        <w:tc>
          <w:tcPr>
            <w:tcW w:w="1265" w:type="dxa"/>
            <w:gridSpan w:val="2"/>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实施单位</w:t>
            </w:r>
          </w:p>
        </w:tc>
        <w:tc>
          <w:tcPr>
            <w:tcW w:w="2119" w:type="dxa"/>
            <w:gridSpan w:val="5"/>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北京市劳动人民文化宫</w:t>
            </w:r>
          </w:p>
        </w:tc>
      </w:tr>
      <w:tr w:rsidR="002B067A">
        <w:trPr>
          <w:trHeight w:hRule="exact" w:val="306"/>
          <w:jc w:val="center"/>
        </w:trPr>
        <w:tc>
          <w:tcPr>
            <w:tcW w:w="1260" w:type="dxa"/>
            <w:gridSpan w:val="2"/>
            <w:tcBorders>
              <w:top w:val="single" w:sz="4" w:space="0" w:color="auto"/>
              <w:left w:val="single" w:sz="4" w:space="0" w:color="auto"/>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项目负责人</w:t>
            </w:r>
          </w:p>
        </w:tc>
        <w:tc>
          <w:tcPr>
            <w:tcW w:w="4394" w:type="dxa"/>
            <w:gridSpan w:val="5"/>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简耀先</w:t>
            </w:r>
          </w:p>
        </w:tc>
        <w:tc>
          <w:tcPr>
            <w:tcW w:w="1265" w:type="dxa"/>
            <w:gridSpan w:val="2"/>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联系电话</w:t>
            </w:r>
          </w:p>
        </w:tc>
        <w:tc>
          <w:tcPr>
            <w:tcW w:w="2119" w:type="dxa"/>
            <w:gridSpan w:val="5"/>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010-65116618</w:t>
            </w:r>
          </w:p>
        </w:tc>
      </w:tr>
      <w:tr w:rsidR="002B067A">
        <w:trPr>
          <w:trHeight w:hRule="exact" w:val="567"/>
          <w:jc w:val="center"/>
        </w:trPr>
        <w:tc>
          <w:tcPr>
            <w:tcW w:w="1260" w:type="dxa"/>
            <w:gridSpan w:val="2"/>
            <w:vMerge w:val="restart"/>
            <w:tcBorders>
              <w:top w:val="single" w:sz="4" w:space="0" w:color="auto"/>
              <w:left w:val="single" w:sz="4" w:space="0" w:color="auto"/>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项目资金</w:t>
            </w:r>
            <w:r>
              <w:rPr>
                <w:rFonts w:ascii="宋体" w:hAnsi="宋体" w:cs="宋体" w:hint="eastAsia"/>
                <w:color w:val="000000" w:themeColor="text1"/>
                <w:kern w:val="0"/>
                <w:sz w:val="18"/>
                <w:szCs w:val="18"/>
              </w:rPr>
              <w:br/>
              <w:t>（万元）</w:t>
            </w:r>
          </w:p>
        </w:tc>
        <w:tc>
          <w:tcPr>
            <w:tcW w:w="1984" w:type="dxa"/>
            <w:gridSpan w:val="2"/>
            <w:tcBorders>
              <w:top w:val="single" w:sz="4" w:space="0" w:color="auto"/>
              <w:left w:val="nil"/>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1275" w:type="dxa"/>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年初预</w:t>
            </w:r>
          </w:p>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算数</w:t>
            </w:r>
          </w:p>
        </w:tc>
        <w:tc>
          <w:tcPr>
            <w:tcW w:w="1135" w:type="dxa"/>
            <w:gridSpan w:val="2"/>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全年预</w:t>
            </w:r>
          </w:p>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算数</w:t>
            </w:r>
          </w:p>
        </w:tc>
        <w:tc>
          <w:tcPr>
            <w:tcW w:w="1265" w:type="dxa"/>
            <w:gridSpan w:val="2"/>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全年</w:t>
            </w:r>
          </w:p>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执行数</w:t>
            </w:r>
          </w:p>
        </w:tc>
        <w:tc>
          <w:tcPr>
            <w:tcW w:w="563" w:type="dxa"/>
            <w:gridSpan w:val="2"/>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分值</w:t>
            </w:r>
          </w:p>
        </w:tc>
        <w:tc>
          <w:tcPr>
            <w:tcW w:w="846"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执行率</w:t>
            </w:r>
          </w:p>
        </w:tc>
        <w:tc>
          <w:tcPr>
            <w:tcW w:w="710" w:type="dxa"/>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得分</w:t>
            </w:r>
          </w:p>
        </w:tc>
      </w:tr>
      <w:tr w:rsidR="002B067A">
        <w:trPr>
          <w:trHeight w:hRule="exact" w:val="306"/>
          <w:jc w:val="center"/>
        </w:trPr>
        <w:tc>
          <w:tcPr>
            <w:tcW w:w="1260" w:type="dxa"/>
            <w:gridSpan w:val="2"/>
            <w:vMerge/>
            <w:tcBorders>
              <w:top w:val="single" w:sz="4" w:space="0" w:color="auto"/>
              <w:left w:val="single" w:sz="4" w:space="0" w:color="auto"/>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1984"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rPr>
                <w:rFonts w:ascii="宋体" w:hAnsi="宋体" w:cs="宋体"/>
                <w:color w:val="000000" w:themeColor="text1"/>
                <w:kern w:val="0"/>
                <w:sz w:val="18"/>
                <w:szCs w:val="18"/>
              </w:rPr>
            </w:pPr>
            <w:r>
              <w:rPr>
                <w:rFonts w:ascii="宋体" w:hAnsi="宋体" w:cs="宋体" w:hint="eastAsia"/>
                <w:color w:val="000000" w:themeColor="text1"/>
                <w:kern w:val="0"/>
                <w:sz w:val="18"/>
                <w:szCs w:val="18"/>
              </w:rPr>
              <w:t>年度资金总额</w:t>
            </w:r>
          </w:p>
        </w:tc>
        <w:tc>
          <w:tcPr>
            <w:tcW w:w="1275" w:type="dxa"/>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130.95389</w:t>
            </w:r>
          </w:p>
        </w:tc>
        <w:tc>
          <w:tcPr>
            <w:tcW w:w="1135" w:type="dxa"/>
            <w:gridSpan w:val="2"/>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130.95389</w:t>
            </w:r>
          </w:p>
        </w:tc>
        <w:tc>
          <w:tcPr>
            <w:tcW w:w="1265" w:type="dxa"/>
            <w:gridSpan w:val="2"/>
            <w:tcBorders>
              <w:top w:val="nil"/>
              <w:left w:val="nil"/>
              <w:bottom w:val="single" w:sz="4" w:space="0" w:color="auto"/>
              <w:right w:val="single" w:sz="4" w:space="0" w:color="auto"/>
            </w:tcBorders>
            <w:vAlign w:val="center"/>
          </w:tcPr>
          <w:p w:rsidR="002B067A" w:rsidRDefault="004B1E7F">
            <w:pPr>
              <w:widowControl/>
              <w:textAlignment w:val="center"/>
              <w:rPr>
                <w:rFonts w:ascii="宋体" w:hAnsi="宋体" w:cs="宋体"/>
                <w:color w:val="000000" w:themeColor="text1"/>
                <w:sz w:val="24"/>
              </w:rPr>
            </w:pPr>
            <w:r>
              <w:rPr>
                <w:rFonts w:ascii="宋体" w:hAnsi="宋体" w:cs="宋体" w:hint="eastAsia"/>
                <w:color w:val="000000" w:themeColor="text1"/>
                <w:kern w:val="0"/>
                <w:sz w:val="18"/>
                <w:szCs w:val="18"/>
              </w:rPr>
              <w:t>114.112678</w:t>
            </w:r>
          </w:p>
        </w:tc>
        <w:tc>
          <w:tcPr>
            <w:tcW w:w="563" w:type="dxa"/>
            <w:gridSpan w:val="2"/>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c>
          <w:tcPr>
            <w:tcW w:w="846"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87.14%</w:t>
            </w:r>
          </w:p>
        </w:tc>
        <w:tc>
          <w:tcPr>
            <w:tcW w:w="710" w:type="dxa"/>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8.7</w:t>
            </w:r>
          </w:p>
        </w:tc>
      </w:tr>
      <w:tr w:rsidR="002B067A">
        <w:trPr>
          <w:trHeight w:hRule="exact" w:val="451"/>
          <w:jc w:val="center"/>
        </w:trPr>
        <w:tc>
          <w:tcPr>
            <w:tcW w:w="1260" w:type="dxa"/>
            <w:gridSpan w:val="2"/>
            <w:vMerge/>
            <w:tcBorders>
              <w:top w:val="single" w:sz="4" w:space="0" w:color="auto"/>
              <w:left w:val="single" w:sz="4" w:space="0" w:color="auto"/>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1984"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其中：当年财政拨款</w:t>
            </w:r>
          </w:p>
        </w:tc>
        <w:tc>
          <w:tcPr>
            <w:tcW w:w="1275" w:type="dxa"/>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130.95389</w:t>
            </w:r>
          </w:p>
        </w:tc>
        <w:tc>
          <w:tcPr>
            <w:tcW w:w="1135" w:type="dxa"/>
            <w:gridSpan w:val="2"/>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130.95389</w:t>
            </w:r>
          </w:p>
        </w:tc>
        <w:tc>
          <w:tcPr>
            <w:tcW w:w="1265" w:type="dxa"/>
            <w:gridSpan w:val="2"/>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114.112678</w:t>
            </w:r>
          </w:p>
        </w:tc>
        <w:tc>
          <w:tcPr>
            <w:tcW w:w="563" w:type="dxa"/>
            <w:gridSpan w:val="2"/>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w:t>
            </w:r>
          </w:p>
        </w:tc>
        <w:tc>
          <w:tcPr>
            <w:tcW w:w="846"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87.14%</w:t>
            </w:r>
          </w:p>
        </w:tc>
        <w:tc>
          <w:tcPr>
            <w:tcW w:w="710" w:type="dxa"/>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8.7</w:t>
            </w:r>
          </w:p>
        </w:tc>
      </w:tr>
      <w:tr w:rsidR="002B067A">
        <w:trPr>
          <w:trHeight w:hRule="exact" w:val="413"/>
          <w:jc w:val="center"/>
        </w:trPr>
        <w:tc>
          <w:tcPr>
            <w:tcW w:w="1260" w:type="dxa"/>
            <w:gridSpan w:val="2"/>
            <w:vMerge/>
            <w:tcBorders>
              <w:top w:val="single" w:sz="4" w:space="0" w:color="auto"/>
              <w:left w:val="single" w:sz="4" w:space="0" w:color="auto"/>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1984"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上年结转资金</w:t>
            </w:r>
          </w:p>
        </w:tc>
        <w:tc>
          <w:tcPr>
            <w:tcW w:w="1275" w:type="dxa"/>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0</w:t>
            </w:r>
          </w:p>
        </w:tc>
        <w:tc>
          <w:tcPr>
            <w:tcW w:w="1135" w:type="dxa"/>
            <w:gridSpan w:val="2"/>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0</w:t>
            </w:r>
          </w:p>
        </w:tc>
        <w:tc>
          <w:tcPr>
            <w:tcW w:w="1265" w:type="dxa"/>
            <w:gridSpan w:val="2"/>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0</w:t>
            </w:r>
          </w:p>
        </w:tc>
        <w:tc>
          <w:tcPr>
            <w:tcW w:w="563" w:type="dxa"/>
            <w:gridSpan w:val="2"/>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w:t>
            </w:r>
          </w:p>
        </w:tc>
        <w:tc>
          <w:tcPr>
            <w:tcW w:w="846"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0</w:t>
            </w:r>
          </w:p>
        </w:tc>
        <w:tc>
          <w:tcPr>
            <w:tcW w:w="710" w:type="dxa"/>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w:t>
            </w:r>
          </w:p>
        </w:tc>
      </w:tr>
      <w:tr w:rsidR="002B067A">
        <w:trPr>
          <w:trHeight w:hRule="exact" w:val="421"/>
          <w:jc w:val="center"/>
        </w:trPr>
        <w:tc>
          <w:tcPr>
            <w:tcW w:w="1260" w:type="dxa"/>
            <w:gridSpan w:val="2"/>
            <w:vMerge/>
            <w:tcBorders>
              <w:top w:val="single" w:sz="4" w:space="0" w:color="auto"/>
              <w:left w:val="single" w:sz="4" w:space="0" w:color="auto"/>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1984"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其他资金</w:t>
            </w:r>
          </w:p>
        </w:tc>
        <w:tc>
          <w:tcPr>
            <w:tcW w:w="1275" w:type="dxa"/>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0</w:t>
            </w:r>
          </w:p>
        </w:tc>
        <w:tc>
          <w:tcPr>
            <w:tcW w:w="1135" w:type="dxa"/>
            <w:gridSpan w:val="2"/>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0</w:t>
            </w:r>
          </w:p>
        </w:tc>
        <w:tc>
          <w:tcPr>
            <w:tcW w:w="1265" w:type="dxa"/>
            <w:gridSpan w:val="2"/>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0</w:t>
            </w:r>
          </w:p>
        </w:tc>
        <w:tc>
          <w:tcPr>
            <w:tcW w:w="563" w:type="dxa"/>
            <w:gridSpan w:val="2"/>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w:t>
            </w:r>
          </w:p>
        </w:tc>
        <w:tc>
          <w:tcPr>
            <w:tcW w:w="846"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0</w:t>
            </w:r>
          </w:p>
        </w:tc>
        <w:tc>
          <w:tcPr>
            <w:tcW w:w="710" w:type="dxa"/>
            <w:tcBorders>
              <w:top w:val="nil"/>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w:t>
            </w:r>
          </w:p>
        </w:tc>
      </w:tr>
      <w:tr w:rsidR="002B067A">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年度总体目标</w:t>
            </w:r>
          </w:p>
        </w:tc>
        <w:tc>
          <w:tcPr>
            <w:tcW w:w="5069" w:type="dxa"/>
            <w:gridSpan w:val="6"/>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预期目标</w:t>
            </w:r>
          </w:p>
        </w:tc>
        <w:tc>
          <w:tcPr>
            <w:tcW w:w="3384" w:type="dxa"/>
            <w:gridSpan w:val="7"/>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实际完成情况</w:t>
            </w:r>
          </w:p>
        </w:tc>
      </w:tr>
      <w:tr w:rsidR="002B067A">
        <w:trPr>
          <w:trHeight w:hRule="exact" w:val="1602"/>
          <w:jc w:val="center"/>
        </w:trPr>
        <w:tc>
          <w:tcPr>
            <w:tcW w:w="585" w:type="dxa"/>
            <w:vMerge/>
            <w:tcBorders>
              <w:top w:val="nil"/>
              <w:left w:val="single" w:sz="4" w:space="0" w:color="auto"/>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5069" w:type="dxa"/>
            <w:gridSpan w:val="6"/>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rPr>
                <w:rFonts w:ascii="宋体" w:hAnsi="宋体" w:cs="宋体"/>
                <w:color w:val="000000" w:themeColor="text1"/>
                <w:kern w:val="0"/>
                <w:sz w:val="18"/>
                <w:szCs w:val="18"/>
              </w:rPr>
            </w:pPr>
            <w:r>
              <w:rPr>
                <w:rFonts w:ascii="宋体" w:hAnsi="宋体" w:cs="宋体" w:hint="eastAsia"/>
                <w:color w:val="000000" w:themeColor="text1"/>
                <w:kern w:val="0"/>
                <w:sz w:val="18"/>
                <w:szCs w:val="18"/>
              </w:rPr>
              <w:t>为中轴线申遗，将太庙内非文物设备用房进行整体迁移，改善设备运营条件，进行资源整合，充分挖掘现有资源的潜力。通过对设备用房的迁移，园区的环境得到合理的改善。北换热站和原配电室整体装修之后统一建筑风格，与文化宫内的古建筑协调一致，通过项目的实施为广大人民群众提供喜闻乐见的良好休闲娱乐和参观环境。</w:t>
            </w:r>
          </w:p>
        </w:tc>
        <w:tc>
          <w:tcPr>
            <w:tcW w:w="3384" w:type="dxa"/>
            <w:gridSpan w:val="7"/>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此工程项目已完成80%。</w:t>
            </w:r>
          </w:p>
        </w:tc>
      </w:tr>
      <w:tr w:rsidR="002B067A">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绩</w:t>
            </w:r>
            <w:r>
              <w:rPr>
                <w:rFonts w:ascii="宋体" w:hAnsi="宋体" w:cs="宋体" w:hint="eastAsia"/>
                <w:color w:val="000000" w:themeColor="text1"/>
                <w:kern w:val="0"/>
                <w:sz w:val="18"/>
                <w:szCs w:val="18"/>
              </w:rPr>
              <w:br/>
              <w:t>效</w:t>
            </w:r>
            <w:r>
              <w:rPr>
                <w:rFonts w:ascii="宋体" w:hAnsi="宋体" w:cs="宋体" w:hint="eastAsia"/>
                <w:color w:val="000000" w:themeColor="text1"/>
                <w:kern w:val="0"/>
                <w:sz w:val="18"/>
                <w:szCs w:val="18"/>
              </w:rPr>
              <w:br/>
              <w:t>指</w:t>
            </w:r>
            <w:r>
              <w:rPr>
                <w:rFonts w:ascii="宋体" w:hAnsi="宋体" w:cs="宋体" w:hint="eastAsia"/>
                <w:color w:val="000000" w:themeColor="text1"/>
                <w:kern w:val="0"/>
                <w:sz w:val="18"/>
                <w:szCs w:val="18"/>
              </w:rPr>
              <w:br/>
              <w:t>标</w:t>
            </w:r>
          </w:p>
        </w:tc>
        <w:tc>
          <w:tcPr>
            <w:tcW w:w="675" w:type="dxa"/>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一级指标</w:t>
            </w:r>
          </w:p>
        </w:tc>
        <w:tc>
          <w:tcPr>
            <w:tcW w:w="1405" w:type="dxa"/>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二级指标</w:t>
            </w:r>
          </w:p>
        </w:tc>
        <w:tc>
          <w:tcPr>
            <w:tcW w:w="2137" w:type="dxa"/>
            <w:gridSpan w:val="3"/>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三级指标</w:t>
            </w:r>
          </w:p>
        </w:tc>
        <w:tc>
          <w:tcPr>
            <w:tcW w:w="852" w:type="dxa"/>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年度</w:t>
            </w:r>
          </w:p>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指标值</w:t>
            </w:r>
          </w:p>
        </w:tc>
        <w:tc>
          <w:tcPr>
            <w:tcW w:w="845" w:type="dxa"/>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实际</w:t>
            </w:r>
          </w:p>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完成值</w:t>
            </w:r>
          </w:p>
        </w:tc>
        <w:tc>
          <w:tcPr>
            <w:tcW w:w="563"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分值</w:t>
            </w:r>
          </w:p>
        </w:tc>
        <w:tc>
          <w:tcPr>
            <w:tcW w:w="622"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得分</w:t>
            </w:r>
          </w:p>
        </w:tc>
        <w:tc>
          <w:tcPr>
            <w:tcW w:w="1354"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偏差原因分析及改进</w:t>
            </w:r>
          </w:p>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措施</w:t>
            </w:r>
          </w:p>
        </w:tc>
      </w:tr>
      <w:tr w:rsidR="002B067A">
        <w:trPr>
          <w:trHeight w:val="59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675" w:type="dxa"/>
            <w:vMerge w:val="restart"/>
            <w:tcBorders>
              <w:left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产出指标</w:t>
            </w:r>
          </w:p>
        </w:tc>
        <w:tc>
          <w:tcPr>
            <w:tcW w:w="1405" w:type="dxa"/>
            <w:tcBorders>
              <w:top w:val="single" w:sz="4" w:space="0" w:color="auto"/>
              <w:left w:val="single" w:sz="4" w:space="0" w:color="auto"/>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数量指标</w:t>
            </w:r>
          </w:p>
        </w:tc>
        <w:tc>
          <w:tcPr>
            <w:tcW w:w="2137" w:type="dxa"/>
            <w:gridSpan w:val="3"/>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迁移供暖设备</w:t>
            </w:r>
          </w:p>
          <w:p w:rsidR="002B067A" w:rsidRDefault="004B1E7F">
            <w:pPr>
              <w:widowControl/>
              <w:spacing w:line="240" w:lineRule="exact"/>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建设、改造、修缮数量</w:t>
            </w:r>
          </w:p>
        </w:tc>
        <w:tc>
          <w:tcPr>
            <w:tcW w:w="852" w:type="dxa"/>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4处</w:t>
            </w:r>
          </w:p>
        </w:tc>
        <w:tc>
          <w:tcPr>
            <w:tcW w:w="845" w:type="dxa"/>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3处</w:t>
            </w:r>
          </w:p>
        </w:tc>
        <w:tc>
          <w:tcPr>
            <w:tcW w:w="563"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c>
          <w:tcPr>
            <w:tcW w:w="622"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p>
        </w:tc>
        <w:tc>
          <w:tcPr>
            <w:tcW w:w="1354"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原因：工程尚未竣工。</w:t>
            </w:r>
          </w:p>
        </w:tc>
      </w:tr>
      <w:tr w:rsidR="002B067A">
        <w:trPr>
          <w:trHeight w:val="59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675" w:type="dxa"/>
            <w:vMerge/>
            <w:tcBorders>
              <w:left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1405" w:type="dxa"/>
            <w:tcBorders>
              <w:top w:val="single" w:sz="4" w:space="0" w:color="auto"/>
              <w:left w:val="single" w:sz="4" w:space="0" w:color="auto"/>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质量指标</w:t>
            </w:r>
          </w:p>
        </w:tc>
        <w:tc>
          <w:tcPr>
            <w:tcW w:w="2137" w:type="dxa"/>
            <w:gridSpan w:val="3"/>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left"/>
              <w:rPr>
                <w:rFonts w:ascii="宋体" w:hAnsi="宋体" w:cs="宋体"/>
                <w:color w:val="000000" w:themeColor="text1"/>
                <w:kern w:val="0"/>
                <w:sz w:val="18"/>
                <w:szCs w:val="18"/>
              </w:rPr>
            </w:pPr>
            <w:r>
              <w:rPr>
                <w:rFonts w:ascii="宋体" w:hAnsi="宋体" w:cs="宋体" w:hint="eastAsia"/>
                <w:color w:val="000000"/>
                <w:kern w:val="0"/>
                <w:sz w:val="18"/>
                <w:szCs w:val="18"/>
              </w:rPr>
              <w:t>已完成此工程项目验收合格率</w:t>
            </w:r>
          </w:p>
        </w:tc>
        <w:tc>
          <w:tcPr>
            <w:tcW w:w="852" w:type="dxa"/>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85</w:t>
            </w:r>
            <w:r>
              <w:rPr>
                <w:rFonts w:ascii="宋体" w:hAnsi="宋体" w:cs="宋体"/>
                <w:color w:val="000000" w:themeColor="text1"/>
                <w:kern w:val="0"/>
                <w:sz w:val="18"/>
                <w:szCs w:val="18"/>
              </w:rPr>
              <w:t>%</w:t>
            </w:r>
          </w:p>
        </w:tc>
        <w:tc>
          <w:tcPr>
            <w:tcW w:w="845" w:type="dxa"/>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85%</w:t>
            </w:r>
          </w:p>
        </w:tc>
        <w:tc>
          <w:tcPr>
            <w:tcW w:w="563"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c>
          <w:tcPr>
            <w:tcW w:w="622"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p>
        </w:tc>
        <w:tc>
          <w:tcPr>
            <w:tcW w:w="1354"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原因：工程尚未竣工。</w:t>
            </w:r>
          </w:p>
          <w:p w:rsidR="002B067A" w:rsidRDefault="004B1E7F">
            <w:pPr>
              <w:widowControl/>
              <w:spacing w:line="240" w:lineRule="exact"/>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措施：尽快推进施工。</w:t>
            </w:r>
          </w:p>
        </w:tc>
      </w:tr>
      <w:tr w:rsidR="002B067A">
        <w:trPr>
          <w:trHeight w:val="59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675" w:type="dxa"/>
            <w:vMerge/>
            <w:tcBorders>
              <w:left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1405" w:type="dxa"/>
            <w:vMerge w:val="restart"/>
            <w:tcBorders>
              <w:top w:val="single" w:sz="4" w:space="0" w:color="auto"/>
              <w:left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时效指标</w:t>
            </w:r>
          </w:p>
        </w:tc>
        <w:tc>
          <w:tcPr>
            <w:tcW w:w="2137" w:type="dxa"/>
            <w:gridSpan w:val="3"/>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方案制定和前期准备</w:t>
            </w:r>
          </w:p>
        </w:tc>
        <w:tc>
          <w:tcPr>
            <w:tcW w:w="852" w:type="dxa"/>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2020年12月前完成</w:t>
            </w:r>
          </w:p>
        </w:tc>
        <w:tc>
          <w:tcPr>
            <w:tcW w:w="845" w:type="dxa"/>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2021年12月</w:t>
            </w:r>
          </w:p>
        </w:tc>
        <w:tc>
          <w:tcPr>
            <w:tcW w:w="563"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c>
          <w:tcPr>
            <w:tcW w:w="622"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c>
          <w:tcPr>
            <w:tcW w:w="1354" w:type="dxa"/>
            <w:gridSpan w:val="2"/>
            <w:tcBorders>
              <w:top w:val="single" w:sz="4" w:space="0" w:color="auto"/>
              <w:left w:val="nil"/>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r>
      <w:tr w:rsidR="002B067A">
        <w:trPr>
          <w:trHeight w:val="59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675" w:type="dxa"/>
            <w:vMerge/>
            <w:tcBorders>
              <w:left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1405" w:type="dxa"/>
            <w:vMerge/>
            <w:tcBorders>
              <w:left w:val="single" w:sz="4" w:space="0" w:color="auto"/>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2137" w:type="dxa"/>
            <w:gridSpan w:val="3"/>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工程设计、控制价编制、招标等</w:t>
            </w:r>
          </w:p>
        </w:tc>
        <w:tc>
          <w:tcPr>
            <w:tcW w:w="852" w:type="dxa"/>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2021年1月至6月</w:t>
            </w:r>
          </w:p>
        </w:tc>
        <w:tc>
          <w:tcPr>
            <w:tcW w:w="845" w:type="dxa"/>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2021年6月</w:t>
            </w:r>
          </w:p>
        </w:tc>
        <w:tc>
          <w:tcPr>
            <w:tcW w:w="563"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c>
          <w:tcPr>
            <w:tcW w:w="622"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c>
          <w:tcPr>
            <w:tcW w:w="1354" w:type="dxa"/>
            <w:gridSpan w:val="2"/>
            <w:tcBorders>
              <w:top w:val="single" w:sz="4" w:space="0" w:color="auto"/>
              <w:left w:val="nil"/>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r>
      <w:tr w:rsidR="002B067A">
        <w:trPr>
          <w:trHeight w:val="59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675" w:type="dxa"/>
            <w:vMerge/>
            <w:tcBorders>
              <w:left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1405" w:type="dxa"/>
            <w:vMerge/>
            <w:tcBorders>
              <w:left w:val="single" w:sz="4" w:space="0" w:color="auto"/>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2137" w:type="dxa"/>
            <w:gridSpan w:val="3"/>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工程施工</w:t>
            </w:r>
          </w:p>
        </w:tc>
        <w:tc>
          <w:tcPr>
            <w:tcW w:w="852" w:type="dxa"/>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2021年7月至10月</w:t>
            </w:r>
          </w:p>
        </w:tc>
        <w:tc>
          <w:tcPr>
            <w:tcW w:w="845" w:type="dxa"/>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50%</w:t>
            </w:r>
          </w:p>
        </w:tc>
        <w:tc>
          <w:tcPr>
            <w:tcW w:w="563"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c>
          <w:tcPr>
            <w:tcW w:w="622"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w:t>
            </w:r>
          </w:p>
        </w:tc>
        <w:tc>
          <w:tcPr>
            <w:tcW w:w="1354"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原因：原设计方案不符合热力公司要求，因此拆除和建设、改造均已完成，但管线未迁移。</w:t>
            </w:r>
          </w:p>
          <w:p w:rsidR="002B067A" w:rsidRDefault="004B1E7F">
            <w:pPr>
              <w:widowControl/>
              <w:spacing w:line="240" w:lineRule="exact"/>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措施：按照热力公司要求修改方案后，尽快实施。</w:t>
            </w:r>
          </w:p>
        </w:tc>
      </w:tr>
      <w:tr w:rsidR="002B067A">
        <w:trPr>
          <w:trHeight w:val="59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675" w:type="dxa"/>
            <w:vMerge/>
            <w:tcBorders>
              <w:left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1405" w:type="dxa"/>
            <w:vMerge/>
            <w:tcBorders>
              <w:left w:val="single" w:sz="4" w:space="0" w:color="auto"/>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2137" w:type="dxa"/>
            <w:gridSpan w:val="3"/>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已完成工程此项目验收</w:t>
            </w:r>
          </w:p>
        </w:tc>
        <w:tc>
          <w:tcPr>
            <w:tcW w:w="852" w:type="dxa"/>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2021年12月</w:t>
            </w:r>
          </w:p>
        </w:tc>
        <w:tc>
          <w:tcPr>
            <w:tcW w:w="845" w:type="dxa"/>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p>
        </w:tc>
        <w:tc>
          <w:tcPr>
            <w:tcW w:w="563"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c>
          <w:tcPr>
            <w:tcW w:w="622"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p>
        </w:tc>
        <w:tc>
          <w:tcPr>
            <w:tcW w:w="1354"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原因：工程尚未竣工。</w:t>
            </w:r>
          </w:p>
          <w:p w:rsidR="002B067A" w:rsidRDefault="004B1E7F">
            <w:pPr>
              <w:widowControl/>
              <w:spacing w:line="240" w:lineRule="exact"/>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措施：尽快推进施工。</w:t>
            </w:r>
          </w:p>
        </w:tc>
      </w:tr>
      <w:tr w:rsidR="002B067A">
        <w:trPr>
          <w:trHeight w:val="43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675" w:type="dxa"/>
            <w:vMerge w:val="restart"/>
            <w:tcBorders>
              <w:top w:val="single" w:sz="4" w:space="0" w:color="auto"/>
              <w:left w:val="single" w:sz="4" w:space="0" w:color="auto"/>
              <w:right w:val="single" w:sz="4" w:space="0" w:color="auto"/>
            </w:tcBorders>
            <w:vAlign w:val="center"/>
          </w:tcPr>
          <w:p w:rsidR="002B067A" w:rsidRDefault="004B1E7F">
            <w:pPr>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效益指标</w:t>
            </w:r>
          </w:p>
        </w:tc>
        <w:tc>
          <w:tcPr>
            <w:tcW w:w="1405" w:type="dxa"/>
            <w:tcBorders>
              <w:top w:val="single" w:sz="4" w:space="0" w:color="auto"/>
              <w:left w:val="single" w:sz="4" w:space="0" w:color="auto"/>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成本指标</w:t>
            </w:r>
          </w:p>
        </w:tc>
        <w:tc>
          <w:tcPr>
            <w:tcW w:w="2137" w:type="dxa"/>
            <w:gridSpan w:val="3"/>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支出控制</w:t>
            </w:r>
          </w:p>
        </w:tc>
        <w:tc>
          <w:tcPr>
            <w:tcW w:w="852" w:type="dxa"/>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130.95389万元</w:t>
            </w:r>
          </w:p>
        </w:tc>
        <w:tc>
          <w:tcPr>
            <w:tcW w:w="845" w:type="dxa"/>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114.112678万元</w:t>
            </w:r>
          </w:p>
        </w:tc>
        <w:tc>
          <w:tcPr>
            <w:tcW w:w="563"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c>
          <w:tcPr>
            <w:tcW w:w="622"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8.7</w:t>
            </w:r>
          </w:p>
        </w:tc>
        <w:tc>
          <w:tcPr>
            <w:tcW w:w="1354"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原因：工程尚未竣工。</w:t>
            </w:r>
          </w:p>
        </w:tc>
      </w:tr>
      <w:tr w:rsidR="002B067A">
        <w:trPr>
          <w:trHeight w:val="59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675" w:type="dxa"/>
            <w:vMerge/>
            <w:tcBorders>
              <w:left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1405" w:type="dxa"/>
            <w:tcBorders>
              <w:top w:val="single" w:sz="4" w:space="0" w:color="auto"/>
              <w:left w:val="single" w:sz="4" w:space="0" w:color="auto"/>
              <w:bottom w:val="single" w:sz="4" w:space="0" w:color="auto"/>
              <w:right w:val="single" w:sz="4" w:space="0" w:color="auto"/>
            </w:tcBorders>
            <w:vAlign w:val="center"/>
          </w:tcPr>
          <w:p w:rsidR="002B067A" w:rsidRDefault="004B1E7F">
            <w:pPr>
              <w:widowControl/>
              <w:spacing w:line="240" w:lineRule="exact"/>
              <w:rPr>
                <w:rFonts w:ascii="宋体" w:hAnsi="宋体" w:cs="宋体"/>
                <w:color w:val="000000" w:themeColor="text1"/>
                <w:kern w:val="0"/>
                <w:sz w:val="18"/>
                <w:szCs w:val="18"/>
              </w:rPr>
            </w:pPr>
            <w:r>
              <w:rPr>
                <w:rFonts w:ascii="宋体" w:hAnsi="宋体" w:cs="宋体" w:hint="eastAsia"/>
                <w:color w:val="000000" w:themeColor="text1"/>
                <w:kern w:val="0"/>
                <w:sz w:val="18"/>
                <w:szCs w:val="18"/>
              </w:rPr>
              <w:t>社会效益指标</w:t>
            </w:r>
          </w:p>
        </w:tc>
        <w:tc>
          <w:tcPr>
            <w:tcW w:w="2137" w:type="dxa"/>
            <w:gridSpan w:val="3"/>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履职基础、公共服务能力</w:t>
            </w:r>
          </w:p>
        </w:tc>
        <w:tc>
          <w:tcPr>
            <w:tcW w:w="852" w:type="dxa"/>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提升</w:t>
            </w:r>
          </w:p>
        </w:tc>
        <w:tc>
          <w:tcPr>
            <w:tcW w:w="845" w:type="dxa"/>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提升</w:t>
            </w:r>
          </w:p>
        </w:tc>
        <w:tc>
          <w:tcPr>
            <w:tcW w:w="563" w:type="dxa"/>
            <w:gridSpan w:val="2"/>
            <w:tcBorders>
              <w:top w:val="single" w:sz="4" w:space="0" w:color="auto"/>
              <w:left w:val="nil"/>
              <w:bottom w:val="single" w:sz="4" w:space="0" w:color="auto"/>
              <w:right w:val="single" w:sz="4" w:space="0" w:color="auto"/>
            </w:tcBorders>
            <w:vAlign w:val="center"/>
          </w:tcPr>
          <w:p w:rsidR="002B067A" w:rsidRDefault="00191B17">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w:t>
            </w:r>
          </w:p>
        </w:tc>
        <w:tc>
          <w:tcPr>
            <w:tcW w:w="622" w:type="dxa"/>
            <w:gridSpan w:val="2"/>
            <w:tcBorders>
              <w:top w:val="single" w:sz="4" w:space="0" w:color="auto"/>
              <w:left w:val="nil"/>
              <w:bottom w:val="single" w:sz="4" w:space="0" w:color="auto"/>
              <w:right w:val="single" w:sz="4" w:space="0" w:color="auto"/>
            </w:tcBorders>
            <w:vAlign w:val="center"/>
          </w:tcPr>
          <w:p w:rsidR="002B067A" w:rsidRDefault="00191B17">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w:t>
            </w:r>
          </w:p>
        </w:tc>
        <w:tc>
          <w:tcPr>
            <w:tcW w:w="1354" w:type="dxa"/>
            <w:gridSpan w:val="2"/>
            <w:tcBorders>
              <w:top w:val="single" w:sz="4" w:space="0" w:color="auto"/>
              <w:left w:val="nil"/>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r>
      <w:tr w:rsidR="002B067A">
        <w:trPr>
          <w:trHeight w:val="59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675" w:type="dxa"/>
            <w:vMerge/>
            <w:tcBorders>
              <w:left w:val="single" w:sz="4" w:space="0" w:color="auto"/>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可持续影响指标</w:t>
            </w:r>
          </w:p>
        </w:tc>
        <w:tc>
          <w:tcPr>
            <w:tcW w:w="2137" w:type="dxa"/>
            <w:gridSpan w:val="3"/>
            <w:tcBorders>
              <w:top w:val="single" w:sz="4" w:space="0" w:color="auto"/>
              <w:left w:val="nil"/>
              <w:bottom w:val="single" w:sz="4" w:space="0" w:color="auto"/>
              <w:right w:val="single" w:sz="4" w:space="0" w:color="auto"/>
            </w:tcBorders>
            <w:shd w:val="clear" w:color="auto" w:fill="auto"/>
            <w:vAlign w:val="center"/>
          </w:tcPr>
          <w:p w:rsidR="002B067A" w:rsidRDefault="004B1E7F">
            <w:pPr>
              <w:widowControl/>
              <w:spacing w:line="240" w:lineRule="exact"/>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确保全区内稳定供热</w:t>
            </w:r>
          </w:p>
        </w:tc>
        <w:tc>
          <w:tcPr>
            <w:tcW w:w="852" w:type="dxa"/>
            <w:tcBorders>
              <w:top w:val="single" w:sz="4" w:space="0" w:color="auto"/>
              <w:left w:val="nil"/>
              <w:bottom w:val="single" w:sz="4" w:space="0" w:color="auto"/>
              <w:right w:val="single" w:sz="4" w:space="0" w:color="auto"/>
            </w:tcBorders>
            <w:shd w:val="clear" w:color="auto" w:fill="auto"/>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提升</w:t>
            </w:r>
          </w:p>
        </w:tc>
        <w:tc>
          <w:tcPr>
            <w:tcW w:w="845" w:type="dxa"/>
            <w:tcBorders>
              <w:top w:val="single" w:sz="4" w:space="0" w:color="auto"/>
              <w:left w:val="nil"/>
              <w:bottom w:val="single" w:sz="4" w:space="0" w:color="auto"/>
              <w:right w:val="single" w:sz="4" w:space="0" w:color="auto"/>
            </w:tcBorders>
            <w:shd w:val="clear" w:color="auto" w:fill="auto"/>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提升</w:t>
            </w:r>
          </w:p>
        </w:tc>
        <w:tc>
          <w:tcPr>
            <w:tcW w:w="563" w:type="dxa"/>
            <w:gridSpan w:val="2"/>
            <w:tcBorders>
              <w:top w:val="single" w:sz="4" w:space="0" w:color="auto"/>
              <w:left w:val="nil"/>
              <w:bottom w:val="single" w:sz="4" w:space="0" w:color="auto"/>
              <w:right w:val="single" w:sz="4" w:space="0" w:color="auto"/>
            </w:tcBorders>
            <w:shd w:val="clear" w:color="auto" w:fill="auto"/>
            <w:vAlign w:val="center"/>
          </w:tcPr>
          <w:p w:rsidR="002B067A" w:rsidRDefault="00191B17">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w:t>
            </w:r>
          </w:p>
        </w:tc>
        <w:tc>
          <w:tcPr>
            <w:tcW w:w="622" w:type="dxa"/>
            <w:gridSpan w:val="2"/>
            <w:tcBorders>
              <w:top w:val="single" w:sz="4" w:space="0" w:color="auto"/>
              <w:left w:val="nil"/>
              <w:bottom w:val="single" w:sz="4" w:space="0" w:color="auto"/>
              <w:right w:val="single" w:sz="4" w:space="0" w:color="auto"/>
            </w:tcBorders>
            <w:shd w:val="clear" w:color="auto" w:fill="auto"/>
            <w:vAlign w:val="center"/>
          </w:tcPr>
          <w:p w:rsidR="002B067A" w:rsidRDefault="00191B17">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w:t>
            </w:r>
          </w:p>
        </w:tc>
        <w:tc>
          <w:tcPr>
            <w:tcW w:w="1354" w:type="dxa"/>
            <w:gridSpan w:val="2"/>
            <w:tcBorders>
              <w:top w:val="single" w:sz="4" w:space="0" w:color="auto"/>
              <w:left w:val="nil"/>
              <w:bottom w:val="single" w:sz="4" w:space="0" w:color="auto"/>
              <w:right w:val="single" w:sz="4" w:space="0" w:color="auto"/>
            </w:tcBorders>
            <w:shd w:val="clear" w:color="auto" w:fill="auto"/>
            <w:vAlign w:val="center"/>
          </w:tcPr>
          <w:p w:rsidR="002B067A" w:rsidRDefault="002B067A">
            <w:pPr>
              <w:widowControl/>
              <w:spacing w:line="240" w:lineRule="exact"/>
              <w:jc w:val="center"/>
              <w:rPr>
                <w:rFonts w:ascii="宋体" w:hAnsi="宋体" w:cs="宋体"/>
                <w:color w:val="000000" w:themeColor="text1"/>
                <w:kern w:val="0"/>
                <w:sz w:val="18"/>
                <w:szCs w:val="18"/>
              </w:rPr>
            </w:pPr>
          </w:p>
        </w:tc>
      </w:tr>
      <w:tr w:rsidR="002B067A">
        <w:trPr>
          <w:trHeight w:val="59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rsidR="002B067A" w:rsidRDefault="004B1E7F" w:rsidP="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满意度指标</w:t>
            </w:r>
          </w:p>
        </w:tc>
        <w:tc>
          <w:tcPr>
            <w:tcW w:w="1405" w:type="dxa"/>
            <w:tcBorders>
              <w:top w:val="single" w:sz="4" w:space="0" w:color="auto"/>
              <w:left w:val="single" w:sz="4" w:space="0" w:color="auto"/>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服务对象满意度指标</w:t>
            </w:r>
          </w:p>
        </w:tc>
        <w:tc>
          <w:tcPr>
            <w:tcW w:w="2137" w:type="dxa"/>
            <w:gridSpan w:val="3"/>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服务对象满意度</w:t>
            </w:r>
          </w:p>
        </w:tc>
        <w:tc>
          <w:tcPr>
            <w:tcW w:w="852" w:type="dxa"/>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≥90%</w:t>
            </w:r>
          </w:p>
        </w:tc>
        <w:tc>
          <w:tcPr>
            <w:tcW w:w="845" w:type="dxa"/>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95%</w:t>
            </w:r>
          </w:p>
        </w:tc>
        <w:tc>
          <w:tcPr>
            <w:tcW w:w="563"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c>
          <w:tcPr>
            <w:tcW w:w="622"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c>
          <w:tcPr>
            <w:tcW w:w="1354" w:type="dxa"/>
            <w:gridSpan w:val="2"/>
            <w:tcBorders>
              <w:top w:val="single" w:sz="4" w:space="0" w:color="auto"/>
              <w:left w:val="nil"/>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r>
      <w:tr w:rsidR="002B067A">
        <w:trPr>
          <w:trHeight w:val="590"/>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总分</w:t>
            </w:r>
          </w:p>
        </w:tc>
        <w:tc>
          <w:tcPr>
            <w:tcW w:w="563"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100</w:t>
            </w:r>
          </w:p>
        </w:tc>
        <w:tc>
          <w:tcPr>
            <w:tcW w:w="622" w:type="dxa"/>
            <w:gridSpan w:val="2"/>
            <w:tcBorders>
              <w:top w:val="single" w:sz="4" w:space="0" w:color="auto"/>
              <w:left w:val="nil"/>
              <w:bottom w:val="single" w:sz="4" w:space="0" w:color="auto"/>
              <w:right w:val="single" w:sz="4" w:space="0" w:color="auto"/>
            </w:tcBorders>
            <w:vAlign w:val="center"/>
          </w:tcPr>
          <w:p w:rsidR="002B067A" w:rsidRDefault="004B1E7F">
            <w:pPr>
              <w:widowControl/>
              <w:spacing w:line="240" w:lineRule="exac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r w:rsidR="00191B17">
              <w:rPr>
                <w:rFonts w:ascii="宋体" w:hAnsi="宋体" w:cs="宋体" w:hint="eastAsia"/>
                <w:color w:val="000000" w:themeColor="text1"/>
                <w:kern w:val="0"/>
                <w:sz w:val="18"/>
                <w:szCs w:val="18"/>
              </w:rPr>
              <w:t>6.4</w:t>
            </w:r>
          </w:p>
        </w:tc>
        <w:tc>
          <w:tcPr>
            <w:tcW w:w="1354" w:type="dxa"/>
            <w:gridSpan w:val="2"/>
            <w:tcBorders>
              <w:top w:val="single" w:sz="4" w:space="0" w:color="auto"/>
              <w:left w:val="nil"/>
              <w:bottom w:val="single" w:sz="4" w:space="0" w:color="auto"/>
              <w:right w:val="single" w:sz="4" w:space="0" w:color="auto"/>
            </w:tcBorders>
            <w:vAlign w:val="center"/>
          </w:tcPr>
          <w:p w:rsidR="002B067A" w:rsidRDefault="002B067A">
            <w:pPr>
              <w:widowControl/>
              <w:spacing w:line="240" w:lineRule="exact"/>
              <w:jc w:val="center"/>
              <w:rPr>
                <w:rFonts w:ascii="宋体" w:hAnsi="宋体" w:cs="宋体"/>
                <w:color w:val="000000" w:themeColor="text1"/>
                <w:kern w:val="0"/>
                <w:sz w:val="18"/>
                <w:szCs w:val="18"/>
              </w:rPr>
            </w:pPr>
          </w:p>
        </w:tc>
      </w:tr>
    </w:tbl>
    <w:p w:rsidR="002B067A" w:rsidRDefault="002B067A">
      <w:pPr>
        <w:adjustRightInd w:val="0"/>
        <w:snapToGrid w:val="0"/>
        <w:spacing w:line="340" w:lineRule="exact"/>
        <w:rPr>
          <w:sz w:val="28"/>
          <w:szCs w:val="28"/>
        </w:rPr>
      </w:pPr>
    </w:p>
    <w:sectPr w:rsidR="002B067A" w:rsidSect="002B067A">
      <w:pgSz w:w="11906" w:h="16838"/>
      <w:pgMar w:top="1418" w:right="1134" w:bottom="1418"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B09" w:rsidRDefault="003D7B09" w:rsidP="00191B17">
      <w:r>
        <w:separator/>
      </w:r>
    </w:p>
  </w:endnote>
  <w:endnote w:type="continuationSeparator" w:id="0">
    <w:p w:rsidR="003D7B09" w:rsidRDefault="003D7B09" w:rsidP="00191B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 w:name="等线">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B09" w:rsidRDefault="003D7B09" w:rsidP="00191B17">
      <w:r>
        <w:separator/>
      </w:r>
    </w:p>
  </w:footnote>
  <w:footnote w:type="continuationSeparator" w:id="0">
    <w:p w:rsidR="003D7B09" w:rsidRDefault="003D7B09" w:rsidP="00191B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T"/>
  </w:docVars>
  <w:rsids>
    <w:rsidRoot w:val="006D37E1"/>
    <w:rsid w:val="00031415"/>
    <w:rsid w:val="00051C1E"/>
    <w:rsid w:val="00056973"/>
    <w:rsid w:val="000B4FD8"/>
    <w:rsid w:val="000F5FC3"/>
    <w:rsid w:val="000F74D6"/>
    <w:rsid w:val="00121B96"/>
    <w:rsid w:val="0012649D"/>
    <w:rsid w:val="00154765"/>
    <w:rsid w:val="00160821"/>
    <w:rsid w:val="00191B17"/>
    <w:rsid w:val="001B1B27"/>
    <w:rsid w:val="001D5B17"/>
    <w:rsid w:val="00255444"/>
    <w:rsid w:val="002828F5"/>
    <w:rsid w:val="002B067A"/>
    <w:rsid w:val="002D1405"/>
    <w:rsid w:val="002E3371"/>
    <w:rsid w:val="002F41A1"/>
    <w:rsid w:val="003038A3"/>
    <w:rsid w:val="0030509F"/>
    <w:rsid w:val="00312265"/>
    <w:rsid w:val="00365E46"/>
    <w:rsid w:val="00373725"/>
    <w:rsid w:val="003844B4"/>
    <w:rsid w:val="003C3789"/>
    <w:rsid w:val="003D6CA7"/>
    <w:rsid w:val="003D7B09"/>
    <w:rsid w:val="003F32F4"/>
    <w:rsid w:val="0040096B"/>
    <w:rsid w:val="00426F87"/>
    <w:rsid w:val="004910B2"/>
    <w:rsid w:val="004B1E7F"/>
    <w:rsid w:val="004F3A41"/>
    <w:rsid w:val="005663AF"/>
    <w:rsid w:val="00570387"/>
    <w:rsid w:val="00637161"/>
    <w:rsid w:val="006C3BE9"/>
    <w:rsid w:val="006D37E1"/>
    <w:rsid w:val="006D7DEA"/>
    <w:rsid w:val="006F1C14"/>
    <w:rsid w:val="007101C9"/>
    <w:rsid w:val="00746313"/>
    <w:rsid w:val="00757C92"/>
    <w:rsid w:val="00760298"/>
    <w:rsid w:val="007F4D54"/>
    <w:rsid w:val="00803CAC"/>
    <w:rsid w:val="008257F3"/>
    <w:rsid w:val="00840446"/>
    <w:rsid w:val="00847ED8"/>
    <w:rsid w:val="00851138"/>
    <w:rsid w:val="00852E08"/>
    <w:rsid w:val="0085305A"/>
    <w:rsid w:val="00880F7E"/>
    <w:rsid w:val="00891D46"/>
    <w:rsid w:val="008B7C3E"/>
    <w:rsid w:val="008C309C"/>
    <w:rsid w:val="008D1137"/>
    <w:rsid w:val="00905070"/>
    <w:rsid w:val="00971D58"/>
    <w:rsid w:val="00980834"/>
    <w:rsid w:val="00981551"/>
    <w:rsid w:val="009E1C0E"/>
    <w:rsid w:val="00A15A45"/>
    <w:rsid w:val="00A242B9"/>
    <w:rsid w:val="00A4178C"/>
    <w:rsid w:val="00A55722"/>
    <w:rsid w:val="00A5712B"/>
    <w:rsid w:val="00A82CB5"/>
    <w:rsid w:val="00A85427"/>
    <w:rsid w:val="00A85FC5"/>
    <w:rsid w:val="00AC1A94"/>
    <w:rsid w:val="00B212A7"/>
    <w:rsid w:val="00B35844"/>
    <w:rsid w:val="00B539A4"/>
    <w:rsid w:val="00B65AD5"/>
    <w:rsid w:val="00B6684C"/>
    <w:rsid w:val="00B7037D"/>
    <w:rsid w:val="00B80AD6"/>
    <w:rsid w:val="00B94889"/>
    <w:rsid w:val="00BD7879"/>
    <w:rsid w:val="00C013B9"/>
    <w:rsid w:val="00C40738"/>
    <w:rsid w:val="00C705EF"/>
    <w:rsid w:val="00C933DF"/>
    <w:rsid w:val="00CB002F"/>
    <w:rsid w:val="00D049E6"/>
    <w:rsid w:val="00D114EE"/>
    <w:rsid w:val="00D30513"/>
    <w:rsid w:val="00D501A0"/>
    <w:rsid w:val="00D83362"/>
    <w:rsid w:val="00D8474F"/>
    <w:rsid w:val="00D8580C"/>
    <w:rsid w:val="00D96B73"/>
    <w:rsid w:val="00E16F38"/>
    <w:rsid w:val="00E2304D"/>
    <w:rsid w:val="00E23921"/>
    <w:rsid w:val="00E465ED"/>
    <w:rsid w:val="00EA262A"/>
    <w:rsid w:val="00EC2547"/>
    <w:rsid w:val="00EE0AF6"/>
    <w:rsid w:val="00F52737"/>
    <w:rsid w:val="00F7470C"/>
    <w:rsid w:val="00FB2C5F"/>
    <w:rsid w:val="00FC1A16"/>
    <w:rsid w:val="00FC4B31"/>
    <w:rsid w:val="00FD3C44"/>
    <w:rsid w:val="00FE20BB"/>
    <w:rsid w:val="00FE7EB6"/>
    <w:rsid w:val="02B2384C"/>
    <w:rsid w:val="0AC37D04"/>
    <w:rsid w:val="0DDD2D1A"/>
    <w:rsid w:val="238F32D2"/>
    <w:rsid w:val="2CD05F98"/>
    <w:rsid w:val="2E3264F0"/>
    <w:rsid w:val="332E382E"/>
    <w:rsid w:val="3B157170"/>
    <w:rsid w:val="3D842D12"/>
    <w:rsid w:val="42413BE7"/>
    <w:rsid w:val="43F65F5E"/>
    <w:rsid w:val="4AD46BA0"/>
    <w:rsid w:val="4F452F15"/>
    <w:rsid w:val="53917C01"/>
    <w:rsid w:val="57C63D47"/>
    <w:rsid w:val="644F0D5F"/>
    <w:rsid w:val="66E00F55"/>
    <w:rsid w:val="6B724FFD"/>
    <w:rsid w:val="6DF418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B067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2B067A"/>
    <w:pPr>
      <w:jc w:val="left"/>
    </w:pPr>
  </w:style>
  <w:style w:type="paragraph" w:styleId="a4">
    <w:name w:val="Balloon Text"/>
    <w:basedOn w:val="a"/>
    <w:link w:val="Char"/>
    <w:qFormat/>
    <w:rsid w:val="002B067A"/>
    <w:rPr>
      <w:sz w:val="18"/>
      <w:szCs w:val="18"/>
    </w:rPr>
  </w:style>
  <w:style w:type="paragraph" w:styleId="a5">
    <w:name w:val="footer"/>
    <w:basedOn w:val="a"/>
    <w:link w:val="Char0"/>
    <w:qFormat/>
    <w:rsid w:val="002B067A"/>
    <w:pPr>
      <w:tabs>
        <w:tab w:val="center" w:pos="4153"/>
        <w:tab w:val="right" w:pos="8306"/>
      </w:tabs>
      <w:snapToGrid w:val="0"/>
      <w:jc w:val="left"/>
    </w:pPr>
    <w:rPr>
      <w:sz w:val="18"/>
      <w:szCs w:val="18"/>
    </w:rPr>
  </w:style>
  <w:style w:type="paragraph" w:styleId="a6">
    <w:name w:val="header"/>
    <w:basedOn w:val="a"/>
    <w:link w:val="Char1"/>
    <w:qFormat/>
    <w:rsid w:val="002B067A"/>
    <w:pPr>
      <w:pBdr>
        <w:bottom w:val="single" w:sz="6" w:space="1" w:color="auto"/>
      </w:pBdr>
      <w:tabs>
        <w:tab w:val="center" w:pos="4153"/>
        <w:tab w:val="right" w:pos="8306"/>
      </w:tabs>
      <w:snapToGrid w:val="0"/>
      <w:jc w:val="center"/>
    </w:pPr>
    <w:rPr>
      <w:sz w:val="18"/>
      <w:szCs w:val="18"/>
    </w:rPr>
  </w:style>
  <w:style w:type="character" w:styleId="a7">
    <w:name w:val="annotation reference"/>
    <w:basedOn w:val="a0"/>
    <w:qFormat/>
    <w:rsid w:val="002B067A"/>
    <w:rPr>
      <w:sz w:val="21"/>
      <w:szCs w:val="21"/>
    </w:rPr>
  </w:style>
  <w:style w:type="character" w:customStyle="1" w:styleId="Char0">
    <w:name w:val="页脚 Char"/>
    <w:link w:val="a5"/>
    <w:qFormat/>
    <w:rsid w:val="002B067A"/>
    <w:rPr>
      <w:rFonts w:ascii="Times New Roman" w:hAnsi="Times New Roman" w:cs="Times New Roman"/>
      <w:kern w:val="2"/>
      <w:sz w:val="18"/>
      <w:szCs w:val="18"/>
    </w:rPr>
  </w:style>
  <w:style w:type="character" w:customStyle="1" w:styleId="Char1">
    <w:name w:val="页眉 Char"/>
    <w:link w:val="a6"/>
    <w:qFormat/>
    <w:rsid w:val="002B067A"/>
    <w:rPr>
      <w:rFonts w:ascii="Times New Roman" w:hAnsi="Times New Roman" w:cs="Times New Roman"/>
      <w:kern w:val="2"/>
      <w:sz w:val="18"/>
      <w:szCs w:val="18"/>
    </w:rPr>
  </w:style>
  <w:style w:type="character" w:customStyle="1" w:styleId="Char">
    <w:name w:val="批注框文本 Char"/>
    <w:basedOn w:val="a0"/>
    <w:link w:val="a4"/>
    <w:qFormat/>
    <w:rsid w:val="002B067A"/>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159</Words>
  <Characters>911</Characters>
  <Application>Microsoft Office Word</Application>
  <DocSecurity>0</DocSecurity>
  <Lines>7</Lines>
  <Paragraphs>2</Paragraphs>
  <ScaleCrop>false</ScaleCrop>
  <Company>Microsoft</Company>
  <LinksUpToDate>false</LinksUpToDate>
  <CharactersWithSpaces>1068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信息发布员</dc:creator>
  <cp:lastModifiedBy>admin</cp:lastModifiedBy>
  <cp:revision>6</cp:revision>
  <dcterms:created xsi:type="dcterms:W3CDTF">2022-05-26T01:45:00Z</dcterms:created>
  <dcterms:modified xsi:type="dcterms:W3CDTF">2022-08-30T16:31:00Z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B2B0B5B2F835488F849B21F8A6AE0CD3</vt:lpwstr>
  </property>
</Properties>
</file>