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240" w:line="540" w:lineRule="exact"/>
        <w:jc w:val="center"/>
        <w:rPr>
          <w:rFonts w:eastAsia="黑体"/>
          <w:b/>
          <w:bCs/>
          <w:sz w:val="48"/>
          <w:szCs w:val="48"/>
          <w:highlight w:val="cyan"/>
        </w:rPr>
      </w:pPr>
    </w:p>
    <w:p>
      <w:pPr>
        <w:spacing w:after="240" w:line="540" w:lineRule="exact"/>
        <w:jc w:val="center"/>
        <w:rPr>
          <w:rFonts w:eastAsia="黑体"/>
          <w:b/>
          <w:bCs/>
          <w:sz w:val="48"/>
          <w:szCs w:val="48"/>
          <w:highlight w:val="cyan"/>
        </w:rPr>
      </w:pPr>
    </w:p>
    <w:p>
      <w:pPr>
        <w:spacing w:after="312" w:afterLines="100" w:line="560" w:lineRule="exact"/>
        <w:jc w:val="center"/>
        <w:rPr>
          <w:rFonts w:eastAsia="方正小标宋简体"/>
          <w:b/>
          <w:kern w:val="0"/>
          <w:sz w:val="44"/>
          <w:szCs w:val="28"/>
        </w:rPr>
      </w:pPr>
      <w:r>
        <w:rPr>
          <w:rFonts w:eastAsia="方正小标宋简体"/>
          <w:b/>
          <w:kern w:val="0"/>
          <w:sz w:val="44"/>
          <w:szCs w:val="28"/>
        </w:rPr>
        <w:t>北京市市级财政支出项目</w:t>
      </w:r>
    </w:p>
    <w:p>
      <w:pPr>
        <w:spacing w:after="312" w:afterLines="100" w:line="560" w:lineRule="exact"/>
        <w:jc w:val="center"/>
        <w:rPr>
          <w:rFonts w:eastAsia="仿宋_GB2312"/>
          <w:b/>
          <w:bCs/>
          <w:sz w:val="36"/>
          <w:szCs w:val="20"/>
        </w:rPr>
      </w:pPr>
      <w:r>
        <w:rPr>
          <w:rFonts w:hint="eastAsia" w:ascii="方正小标宋简体" w:hAnsi="Leelawadee UI" w:eastAsia="方正小标宋简体" w:cs="Leelawadee UI"/>
          <w:b/>
          <w:kern w:val="0"/>
          <w:sz w:val="44"/>
          <w:szCs w:val="28"/>
        </w:rPr>
        <w:t>绩效评价报告</w:t>
      </w:r>
    </w:p>
    <w:p>
      <w:pPr>
        <w:snapToGrid w:val="0"/>
        <w:spacing w:after="312" w:afterLines="100" w:line="300" w:lineRule="auto"/>
        <w:ind w:firstLine="723" w:firstLineChars="200"/>
        <w:rPr>
          <w:rFonts w:eastAsia="仿宋_GB2312"/>
          <w:b/>
          <w:bCs/>
          <w:sz w:val="36"/>
          <w:szCs w:val="20"/>
        </w:rPr>
      </w:pPr>
    </w:p>
    <w:p>
      <w:pPr>
        <w:snapToGrid w:val="0"/>
        <w:spacing w:after="312" w:afterLines="100" w:line="300" w:lineRule="auto"/>
        <w:ind w:firstLine="723" w:firstLineChars="200"/>
        <w:rPr>
          <w:rFonts w:eastAsia="仿宋_GB2312"/>
          <w:b/>
          <w:bCs/>
          <w:sz w:val="36"/>
          <w:szCs w:val="20"/>
        </w:rPr>
      </w:pPr>
    </w:p>
    <w:p>
      <w:pPr>
        <w:snapToGrid w:val="0"/>
        <w:spacing w:after="312" w:afterLines="100" w:line="300" w:lineRule="auto"/>
        <w:ind w:firstLine="723" w:firstLineChars="200"/>
        <w:rPr>
          <w:rFonts w:eastAsia="仿宋_GB2312"/>
          <w:b/>
          <w:bCs/>
          <w:sz w:val="36"/>
          <w:szCs w:val="20"/>
        </w:rPr>
      </w:pPr>
    </w:p>
    <w:p>
      <w:pPr>
        <w:snapToGrid w:val="0"/>
        <w:spacing w:after="312" w:afterLines="100" w:line="300" w:lineRule="auto"/>
        <w:ind w:firstLine="723" w:firstLineChars="200"/>
        <w:rPr>
          <w:rFonts w:eastAsia="仿宋_GB2312"/>
          <w:b/>
          <w:bCs/>
          <w:sz w:val="36"/>
          <w:szCs w:val="20"/>
        </w:rPr>
      </w:pPr>
      <w:r>
        <w:rPr>
          <w:rFonts w:hint="eastAsia" w:eastAsia="仿宋_GB2312"/>
          <w:b/>
          <w:bCs/>
          <w:sz w:val="36"/>
          <w:szCs w:val="20"/>
        </w:rPr>
        <w:t xml:space="preserve">  </w:t>
      </w:r>
    </w:p>
    <w:p>
      <w:pPr>
        <w:adjustRightInd w:val="0"/>
        <w:snapToGrid w:val="0"/>
        <w:spacing w:line="360" w:lineRule="auto"/>
        <w:ind w:left="525" w:leftChars="250" w:right="525" w:rightChars="250"/>
        <w:jc w:val="left"/>
        <w:rPr>
          <w:rFonts w:ascii="仿宋_GB2312" w:hAnsi="仿宋_GB2312" w:eastAsia="仿宋_GB2312" w:cs="仿宋_GB2312"/>
          <w:b/>
          <w:sz w:val="32"/>
          <w:szCs w:val="32"/>
        </w:rPr>
      </w:pPr>
      <w:r>
        <w:rPr>
          <w:rFonts w:hint="eastAsia" w:ascii="仿宋_GB2312" w:hAnsi="仿宋_GB2312" w:eastAsia="仿宋_GB2312" w:cs="仿宋_GB2312"/>
          <w:b/>
          <w:sz w:val="32"/>
          <w:szCs w:val="32"/>
        </w:rPr>
        <w:t>主管部门：</w:t>
      </w:r>
      <w:r>
        <w:rPr>
          <w:rFonts w:hint="eastAsia" w:ascii="仿宋_GB2312" w:hAnsi="仿宋_GB2312" w:eastAsia="仿宋_GB2312" w:cs="仿宋_GB2312"/>
          <w:bCs/>
          <w:kern w:val="0"/>
          <w:sz w:val="32"/>
          <w:szCs w:val="32"/>
          <w:u w:val="single"/>
        </w:rPr>
        <w:t xml:space="preserve">北京市总工会                           </w:t>
      </w:r>
      <w:r>
        <w:rPr>
          <w:rFonts w:hint="eastAsia" w:ascii="仿宋_GB2312" w:hAnsi="仿宋_GB2312" w:eastAsia="仿宋_GB2312" w:cs="仿宋_GB2312"/>
          <w:b/>
          <w:sz w:val="32"/>
          <w:szCs w:val="32"/>
        </w:rPr>
        <w:t xml:space="preserve">                               </w:t>
      </w:r>
    </w:p>
    <w:p>
      <w:pPr>
        <w:adjustRightInd w:val="0"/>
        <w:snapToGrid w:val="0"/>
        <w:spacing w:line="360" w:lineRule="auto"/>
        <w:ind w:left="525" w:leftChars="250" w:right="525" w:rightChars="250"/>
        <w:jc w:val="left"/>
        <w:rPr>
          <w:rFonts w:ascii="仿宋_GB2312" w:hAnsi="仿宋_GB2312" w:eastAsia="仿宋_GB2312" w:cs="仿宋_GB2312"/>
          <w:b/>
          <w:sz w:val="32"/>
          <w:szCs w:val="32"/>
        </w:rPr>
      </w:pPr>
      <w:r>
        <w:rPr>
          <w:rFonts w:hint="eastAsia" w:ascii="仿宋_GB2312" w:hAnsi="仿宋_GB2312" w:eastAsia="仿宋_GB2312" w:cs="仿宋_GB2312"/>
          <w:b/>
          <w:sz w:val="32"/>
          <w:szCs w:val="32"/>
        </w:rPr>
        <w:t>实施部门：</w:t>
      </w:r>
      <w:r>
        <w:rPr>
          <w:rFonts w:hint="eastAsia" w:ascii="仿宋_GB2312" w:hAnsi="仿宋_GB2312" w:eastAsia="仿宋_GB2312" w:cs="仿宋_GB2312"/>
          <w:bCs/>
          <w:kern w:val="0"/>
          <w:sz w:val="32"/>
          <w:szCs w:val="32"/>
          <w:u w:val="single"/>
        </w:rPr>
        <w:t xml:space="preserve">北京市总工会劳模工作部                 </w:t>
      </w:r>
      <w:r>
        <w:rPr>
          <w:rFonts w:hint="eastAsia" w:ascii="仿宋_GB2312" w:hAnsi="仿宋_GB2312" w:eastAsia="仿宋_GB2312" w:cs="仿宋_GB2312"/>
          <w:b/>
          <w:sz w:val="32"/>
          <w:szCs w:val="32"/>
        </w:rPr>
        <w:t xml:space="preserve">                          </w:t>
      </w:r>
    </w:p>
    <w:p>
      <w:pPr>
        <w:adjustRightInd w:val="0"/>
        <w:snapToGrid w:val="0"/>
        <w:spacing w:line="360" w:lineRule="auto"/>
        <w:ind w:left="525" w:leftChars="250" w:right="525" w:rightChars="250"/>
        <w:jc w:val="left"/>
        <w:rPr>
          <w:rFonts w:ascii="仿宋_GB2312" w:hAnsi="仿宋_GB2312" w:eastAsia="仿宋_GB2312" w:cs="仿宋_GB2312"/>
          <w:b/>
          <w:sz w:val="32"/>
          <w:szCs w:val="32"/>
        </w:rPr>
      </w:pPr>
      <w:r>
        <w:rPr>
          <w:rFonts w:hint="eastAsia" w:ascii="仿宋_GB2312" w:hAnsi="仿宋_GB2312" w:eastAsia="仿宋_GB2312" w:cs="仿宋_GB2312"/>
          <w:b/>
          <w:sz w:val="32"/>
          <w:szCs w:val="32"/>
        </w:rPr>
        <w:t>项目名称：</w:t>
      </w:r>
      <w:r>
        <w:rPr>
          <w:rFonts w:hint="eastAsia" w:ascii="仿宋_GB2312" w:hAnsi="仿宋_GB2312" w:eastAsia="仿宋_GB2312" w:cs="仿宋_GB2312"/>
          <w:bCs/>
          <w:kern w:val="0"/>
          <w:sz w:val="32"/>
          <w:szCs w:val="32"/>
          <w:u w:val="single"/>
        </w:rPr>
        <w:t xml:space="preserve">市级劳模专项补助资金项目                   </w:t>
      </w:r>
      <w:r>
        <w:rPr>
          <w:rFonts w:hint="eastAsia" w:ascii="仿宋_GB2312" w:hAnsi="仿宋_GB2312" w:eastAsia="仿宋_GB2312" w:cs="仿宋_GB2312"/>
          <w:b/>
          <w:sz w:val="32"/>
          <w:szCs w:val="32"/>
        </w:rPr>
        <w:t xml:space="preserve">                        </w:t>
      </w:r>
    </w:p>
    <w:p>
      <w:pPr>
        <w:adjustRightInd w:val="0"/>
        <w:snapToGrid w:val="0"/>
        <w:spacing w:line="360" w:lineRule="auto"/>
        <w:ind w:left="525" w:leftChars="250" w:right="525" w:rightChars="250"/>
        <w:jc w:val="left"/>
        <w:rPr>
          <w:rFonts w:ascii="仿宋_GB2312" w:hAnsi="仿宋_GB2312" w:eastAsia="仿宋_GB2312" w:cs="仿宋_GB2312"/>
          <w:b/>
          <w:sz w:val="32"/>
          <w:szCs w:val="32"/>
        </w:rPr>
      </w:pPr>
      <w:r>
        <w:rPr>
          <w:rFonts w:hint="eastAsia" w:ascii="仿宋_GB2312" w:hAnsi="仿宋_GB2312" w:eastAsia="仿宋_GB2312" w:cs="仿宋_GB2312"/>
          <w:b/>
          <w:sz w:val="32"/>
          <w:szCs w:val="32"/>
        </w:rPr>
        <w:t>评价机构：</w:t>
      </w:r>
      <w:r>
        <w:rPr>
          <w:rFonts w:hint="eastAsia" w:ascii="仿宋_GB2312" w:hAnsi="仿宋_GB2312" w:eastAsia="仿宋_GB2312" w:cs="仿宋_GB2312"/>
          <w:bCs/>
          <w:kern w:val="0"/>
          <w:sz w:val="32"/>
          <w:szCs w:val="32"/>
          <w:u w:val="single"/>
        </w:rPr>
        <w:t xml:space="preserve">北京市总工会                           </w:t>
      </w:r>
      <w:r>
        <w:rPr>
          <w:rFonts w:hint="eastAsia" w:ascii="仿宋_GB2312" w:hAnsi="仿宋_GB2312" w:eastAsia="仿宋_GB2312" w:cs="仿宋_GB2312"/>
          <w:b/>
          <w:sz w:val="32"/>
          <w:szCs w:val="32"/>
        </w:rPr>
        <w:t xml:space="preserve">                           </w:t>
      </w:r>
    </w:p>
    <w:p>
      <w:pPr>
        <w:adjustRightInd w:val="0"/>
        <w:snapToGrid w:val="0"/>
        <w:ind w:left="525" w:leftChars="250" w:right="525" w:rightChars="250"/>
        <w:jc w:val="left"/>
        <w:rPr>
          <w:rFonts w:ascii="仿宋_GB2312" w:hAnsi="仿宋_GB2312" w:eastAsia="仿宋_GB2312" w:cs="仿宋_GB2312"/>
          <w:b/>
          <w:sz w:val="32"/>
          <w:szCs w:val="32"/>
        </w:rPr>
      </w:pPr>
      <w:r>
        <w:rPr>
          <w:rFonts w:hint="eastAsia" w:ascii="仿宋_GB2312" w:hAnsi="仿宋_GB2312" w:eastAsia="仿宋_GB2312" w:cs="仿宋_GB2312"/>
          <w:b/>
          <w:sz w:val="32"/>
          <w:szCs w:val="32"/>
        </w:rPr>
        <w:t>参与评价</w:t>
      </w:r>
    </w:p>
    <w:p>
      <w:pPr>
        <w:adjustRightInd w:val="0"/>
        <w:snapToGrid w:val="0"/>
        <w:ind w:left="525" w:leftChars="250" w:right="525" w:rightChars="250"/>
        <w:jc w:val="left"/>
        <w:rPr>
          <w:rFonts w:ascii="黑体" w:eastAsia="黑体"/>
          <w:b/>
          <w:sz w:val="32"/>
          <w:szCs w:val="20"/>
        </w:rPr>
      </w:pPr>
      <w:r>
        <w:rPr>
          <w:rFonts w:hint="eastAsia" w:ascii="仿宋_GB2312" w:hAnsi="仿宋_GB2312" w:eastAsia="仿宋_GB2312" w:cs="仿宋_GB2312"/>
          <w:b/>
          <w:sz w:val="32"/>
          <w:szCs w:val="32"/>
        </w:rPr>
        <w:t>中介机构：</w:t>
      </w:r>
      <w:r>
        <w:rPr>
          <w:rFonts w:hint="eastAsia" w:ascii="仿宋_GB2312" w:hAnsi="仿宋_GB2312" w:eastAsia="仿宋_GB2312" w:cs="仿宋_GB2312"/>
          <w:bCs/>
          <w:kern w:val="0"/>
          <w:sz w:val="32"/>
          <w:szCs w:val="32"/>
          <w:u w:val="single"/>
        </w:rPr>
        <w:t xml:space="preserve">北京和兴会计师事务所有限责任公司       </w:t>
      </w:r>
    </w:p>
    <w:p>
      <w:pPr>
        <w:spacing w:line="480" w:lineRule="auto"/>
        <w:jc w:val="center"/>
        <w:rPr>
          <w:rFonts w:ascii="黑体" w:eastAsia="黑体"/>
          <w:b/>
          <w:sz w:val="32"/>
          <w:szCs w:val="20"/>
        </w:rPr>
      </w:pPr>
    </w:p>
    <w:p>
      <w:pPr>
        <w:spacing w:line="480" w:lineRule="auto"/>
        <w:jc w:val="center"/>
        <w:rPr>
          <w:rFonts w:ascii="黑体" w:eastAsia="黑体"/>
          <w:b/>
          <w:sz w:val="32"/>
          <w:szCs w:val="20"/>
        </w:rPr>
      </w:pPr>
    </w:p>
    <w:p>
      <w:pPr>
        <w:spacing w:line="480" w:lineRule="auto"/>
        <w:jc w:val="center"/>
        <w:rPr>
          <w:rFonts w:ascii="黑体" w:eastAsia="黑体"/>
          <w:b/>
          <w:sz w:val="32"/>
          <w:szCs w:val="20"/>
        </w:rPr>
      </w:pPr>
      <w:r>
        <w:rPr>
          <w:rFonts w:hint="eastAsia" w:ascii="黑体" w:eastAsia="黑体"/>
          <w:b/>
          <w:sz w:val="32"/>
          <w:szCs w:val="20"/>
        </w:rPr>
        <w:t xml:space="preserve">北京市总工会 </w:t>
      </w:r>
    </w:p>
    <w:p>
      <w:pPr>
        <w:jc w:val="center"/>
        <w:rPr>
          <w:rFonts w:hint="eastAsia" w:ascii="黑体" w:hAnsi="黑体" w:eastAsia="黑体" w:cs="黑体"/>
          <w:b/>
          <w:bCs/>
          <w:kern w:val="44"/>
          <w:sz w:val="32"/>
          <w:szCs w:val="32"/>
        </w:rPr>
        <w:sectPr>
          <w:footerReference r:id="rId4" w:type="default"/>
          <w:pgSz w:w="11906" w:h="16838"/>
          <w:pgMar w:top="2098" w:right="1474" w:bottom="1984" w:left="1587" w:header="851" w:footer="992" w:gutter="0"/>
          <w:pgNumType w:fmt="numberInDash" w:start="1"/>
          <w:cols w:space="0" w:num="1"/>
          <w:rtlGutter w:val="0"/>
          <w:docGrid w:type="lines" w:linePitch="312" w:charSpace="0"/>
        </w:sectPr>
      </w:pPr>
      <w:r>
        <w:rPr>
          <w:rFonts w:hint="eastAsia" w:ascii="黑体" w:hAnsi="黑体" w:eastAsia="黑体" w:cs="黑体"/>
          <w:b/>
          <w:bCs/>
          <w:kern w:val="44"/>
          <w:sz w:val="32"/>
          <w:szCs w:val="32"/>
        </w:rPr>
        <w:t>202</w:t>
      </w:r>
      <w:r>
        <w:rPr>
          <w:rFonts w:ascii="黑体" w:hAnsi="黑体" w:eastAsia="黑体" w:cs="黑体"/>
          <w:b/>
          <w:bCs/>
          <w:kern w:val="44"/>
          <w:sz w:val="32"/>
          <w:szCs w:val="32"/>
        </w:rPr>
        <w:t>2</w:t>
      </w:r>
      <w:r>
        <w:rPr>
          <w:rFonts w:hint="eastAsia" w:ascii="黑体" w:hAnsi="黑体" w:eastAsia="黑体" w:cs="黑体"/>
          <w:b/>
          <w:bCs/>
          <w:kern w:val="44"/>
          <w:sz w:val="32"/>
          <w:szCs w:val="32"/>
        </w:rPr>
        <w:t>年</w:t>
      </w:r>
      <w:r>
        <w:rPr>
          <w:rFonts w:ascii="黑体" w:hAnsi="黑体" w:eastAsia="黑体" w:cs="黑体"/>
          <w:b/>
          <w:bCs/>
          <w:kern w:val="44"/>
          <w:sz w:val="32"/>
          <w:szCs w:val="32"/>
        </w:rPr>
        <w:t>5</w:t>
      </w:r>
      <w:r>
        <w:rPr>
          <w:rFonts w:hint="eastAsia" w:ascii="黑体" w:hAnsi="黑体" w:eastAsia="黑体" w:cs="黑体"/>
          <w:b/>
          <w:bCs/>
          <w:kern w:val="44"/>
          <w:sz w:val="32"/>
          <w:szCs w:val="32"/>
        </w:rPr>
        <w:t>月</w:t>
      </w:r>
    </w:p>
    <w:p>
      <w:pPr>
        <w:jc w:val="center"/>
      </w:pPr>
      <w:r>
        <w:drawing>
          <wp:inline distT="0" distB="0" distL="114300" distR="114300">
            <wp:extent cx="4686300" cy="3514725"/>
            <wp:effectExtent l="0" t="0" r="12700" b="15875"/>
            <wp:docPr id="2" name="图片 2" descr="劳模体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劳模体检2"/>
                    <pic:cNvPicPr>
                      <a:picLocks noChangeAspect="1"/>
                    </pic:cNvPicPr>
                  </pic:nvPicPr>
                  <pic:blipFill>
                    <a:blip r:embed="rId12"/>
                    <a:stretch>
                      <a:fillRect/>
                    </a:stretch>
                  </pic:blipFill>
                  <pic:spPr>
                    <a:xfrm>
                      <a:off x="0" y="0"/>
                      <a:ext cx="4686300" cy="3514725"/>
                    </a:xfrm>
                    <a:prstGeom prst="rect">
                      <a:avLst/>
                    </a:prstGeom>
                  </pic:spPr>
                </pic:pic>
              </a:graphicData>
            </a:graphic>
          </wp:inline>
        </w:drawing>
      </w:r>
    </w:p>
    <w:p>
      <w:pPr>
        <w:jc w:val="center"/>
        <w:rPr>
          <w:sz w:val="24"/>
          <w:szCs w:val="24"/>
        </w:rPr>
      </w:pPr>
    </w:p>
    <w:p>
      <w:pPr>
        <w:jc w:val="center"/>
        <w:rPr>
          <w:sz w:val="24"/>
          <w:szCs w:val="24"/>
        </w:rPr>
      </w:pPr>
      <w:r>
        <w:rPr>
          <w:rFonts w:hint="eastAsia" w:ascii="仿宋_GB2312" w:hAnsi="仿宋_GB2312" w:eastAsia="仿宋_GB2312" w:cs="仿宋_GB2312"/>
          <w:sz w:val="24"/>
          <w:szCs w:val="24"/>
        </w:rPr>
        <w:t>图1  组织劳模体检</w:t>
      </w:r>
    </w:p>
    <w:p>
      <w:pPr>
        <w:rPr>
          <w:sz w:val="24"/>
          <w:szCs w:val="24"/>
        </w:rPr>
      </w:pPr>
    </w:p>
    <w:p>
      <w:pPr>
        <w:jc w:val="center"/>
      </w:pPr>
      <w:r>
        <w:drawing>
          <wp:inline distT="0" distB="0" distL="114300" distR="114300">
            <wp:extent cx="4693285" cy="3132455"/>
            <wp:effectExtent l="0" t="0" r="5715" b="17145"/>
            <wp:docPr id="4" name="图片 4" descr="为百岁市级劳模张琪献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为百岁市级劳模张琪献花"/>
                    <pic:cNvPicPr>
                      <a:picLocks noChangeAspect="1"/>
                    </pic:cNvPicPr>
                  </pic:nvPicPr>
                  <pic:blipFill>
                    <a:blip r:embed="rId13"/>
                    <a:stretch>
                      <a:fillRect/>
                    </a:stretch>
                  </pic:blipFill>
                  <pic:spPr>
                    <a:xfrm>
                      <a:off x="0" y="0"/>
                      <a:ext cx="4693285" cy="3132455"/>
                    </a:xfrm>
                    <a:prstGeom prst="rect">
                      <a:avLst/>
                    </a:prstGeom>
                  </pic:spPr>
                </pic:pic>
              </a:graphicData>
            </a:graphic>
          </wp:inline>
        </w:drawing>
      </w:r>
    </w:p>
    <w:p>
      <w:pPr>
        <w:jc w:val="center"/>
        <w:rPr>
          <w:sz w:val="24"/>
          <w:szCs w:val="24"/>
        </w:rPr>
      </w:pPr>
    </w:p>
    <w:p>
      <w:pPr>
        <w:jc w:val="center"/>
        <w:rPr>
          <w:rFonts w:hint="eastAsia" w:ascii="仿宋_GB2312" w:hAnsi="仿宋_GB2312" w:eastAsia="仿宋_GB2312" w:cs="仿宋_GB2312"/>
          <w:sz w:val="24"/>
          <w:szCs w:val="24"/>
          <w:lang w:eastAsia="zh-Hans"/>
        </w:rPr>
        <w:sectPr>
          <w:footerReference r:id="rId5" w:type="default"/>
          <w:pgSz w:w="11906" w:h="16838"/>
          <w:pgMar w:top="2098" w:right="1474" w:bottom="1984" w:left="1587" w:header="851" w:footer="992" w:gutter="0"/>
          <w:pgNumType w:fmt="numberInDash" w:start="1"/>
          <w:cols w:space="720" w:num="1"/>
          <w:docGrid w:type="lines" w:linePitch="312" w:charSpace="0"/>
        </w:sectPr>
      </w:pPr>
      <w:r>
        <w:rPr>
          <w:rFonts w:hint="eastAsia" w:ascii="仿宋_GB2312" w:hAnsi="仿宋_GB2312" w:eastAsia="仿宋_GB2312" w:cs="仿宋_GB2312"/>
          <w:sz w:val="24"/>
          <w:szCs w:val="24"/>
        </w:rPr>
        <w:t xml:space="preserve">图2   </w:t>
      </w:r>
      <w:r>
        <w:rPr>
          <w:rFonts w:hint="eastAsia" w:ascii="仿宋_GB2312" w:hAnsi="仿宋_GB2312" w:eastAsia="仿宋_GB2312" w:cs="仿宋_GB2312"/>
          <w:sz w:val="24"/>
          <w:szCs w:val="24"/>
          <w:lang w:eastAsia="zh-Hans"/>
        </w:rPr>
        <w:t>为百岁市级劳模献花</w:t>
      </w:r>
    </w:p>
    <w:p>
      <w:pPr>
        <w:jc w:val="center"/>
        <w:rPr>
          <w:rFonts w:eastAsia="方正小标宋_GBK"/>
          <w:b/>
          <w:bCs/>
          <w:sz w:val="44"/>
          <w:szCs w:val="44"/>
          <w:highlight w:val="yellow"/>
        </w:rPr>
      </w:pPr>
      <w:r>
        <w:rPr>
          <w:rFonts w:eastAsia="方正小标宋_GBK"/>
          <w:b/>
          <w:bCs/>
          <w:sz w:val="44"/>
          <w:szCs w:val="44"/>
          <w:highlight w:val="none"/>
        </w:rPr>
        <w:t>目  录</w:t>
      </w:r>
    </w:p>
    <w:p>
      <w:pPr>
        <w:spacing w:line="480" w:lineRule="auto"/>
        <w:jc w:val="center"/>
        <w:rPr>
          <w:rFonts w:eastAsia="仿宋_GB2312"/>
          <w:sz w:val="32"/>
          <w:szCs w:val="32"/>
          <w:lang w:val="zh-CN"/>
        </w:rPr>
      </w:pPr>
    </w:p>
    <w:p>
      <w:pPr>
        <w:pStyle w:val="12"/>
        <w:tabs>
          <w:tab w:val="right" w:leader="dot" w:pos="8845"/>
        </w:tabs>
        <w:rPr>
          <w:sz w:val="32"/>
          <w:szCs w:val="32"/>
        </w:rPr>
      </w:pPr>
      <w:r>
        <w:rPr>
          <w:rFonts w:eastAsia="仿宋_GB2312"/>
          <w:kern w:val="0"/>
          <w:sz w:val="32"/>
          <w:szCs w:val="32"/>
        </w:rPr>
        <w:fldChar w:fldCharType="begin"/>
      </w:r>
      <w:r>
        <w:rPr>
          <w:rStyle w:val="16"/>
          <w:rFonts w:eastAsia="仿宋_GB2312"/>
          <w:kern w:val="0"/>
          <w:sz w:val="32"/>
          <w:szCs w:val="32"/>
        </w:rPr>
        <w:instrText xml:space="preserve"> TOC \o "1-3" \h \z \u </w:instrText>
      </w:r>
      <w:r>
        <w:rPr>
          <w:rFonts w:eastAsia="仿宋_GB2312"/>
          <w:kern w:val="0"/>
          <w:sz w:val="32"/>
          <w:szCs w:val="32"/>
        </w:rPr>
        <w:fldChar w:fldCharType="separate"/>
      </w:r>
      <w:r>
        <w:fldChar w:fldCharType="begin"/>
      </w:r>
      <w:r>
        <w:instrText xml:space="preserve"> HYPERLINK \l "_Toc13527" </w:instrText>
      </w:r>
      <w:r>
        <w:fldChar w:fldCharType="separate"/>
      </w:r>
      <w:r>
        <w:rPr>
          <w:rFonts w:eastAsia="黑体"/>
          <w:bCs/>
          <w:kern w:val="0"/>
          <w:sz w:val="32"/>
          <w:szCs w:val="32"/>
        </w:rPr>
        <w:t>一、项目基本情况</w:t>
      </w:r>
      <w:r>
        <w:rPr>
          <w:sz w:val="32"/>
          <w:szCs w:val="32"/>
        </w:rPr>
        <w:tab/>
      </w:r>
      <w:r>
        <w:rPr>
          <w:sz w:val="32"/>
          <w:szCs w:val="32"/>
        </w:rPr>
        <w:t>1</w:t>
      </w:r>
      <w:r>
        <w:rPr>
          <w:sz w:val="32"/>
          <w:szCs w:val="32"/>
        </w:rPr>
        <w:fldChar w:fldCharType="end"/>
      </w:r>
    </w:p>
    <w:p>
      <w:pPr>
        <w:pStyle w:val="14"/>
        <w:tabs>
          <w:tab w:val="right" w:leader="dot" w:pos="8845"/>
        </w:tabs>
        <w:rPr>
          <w:sz w:val="32"/>
          <w:szCs w:val="32"/>
        </w:rPr>
      </w:pPr>
      <w:r>
        <w:fldChar w:fldCharType="begin"/>
      </w:r>
      <w:r>
        <w:instrText xml:space="preserve"> HYPERLINK \l "_Toc7595" </w:instrText>
      </w:r>
      <w:r>
        <w:fldChar w:fldCharType="separate"/>
      </w:r>
      <w:r>
        <w:rPr>
          <w:rFonts w:eastAsia="楷体"/>
          <w:sz w:val="32"/>
          <w:szCs w:val="32"/>
        </w:rPr>
        <w:t>（一）项目概况</w:t>
      </w:r>
      <w:r>
        <w:rPr>
          <w:sz w:val="32"/>
          <w:szCs w:val="32"/>
        </w:rPr>
        <w:tab/>
      </w:r>
      <w:r>
        <w:rPr>
          <w:sz w:val="32"/>
          <w:szCs w:val="32"/>
        </w:rPr>
        <w:t>1</w:t>
      </w:r>
      <w:r>
        <w:rPr>
          <w:sz w:val="32"/>
          <w:szCs w:val="32"/>
        </w:rPr>
        <w:fldChar w:fldCharType="end"/>
      </w:r>
    </w:p>
    <w:p>
      <w:pPr>
        <w:pStyle w:val="14"/>
        <w:tabs>
          <w:tab w:val="right" w:leader="dot" w:pos="8845"/>
        </w:tabs>
        <w:rPr>
          <w:sz w:val="32"/>
          <w:szCs w:val="32"/>
        </w:rPr>
      </w:pPr>
      <w:r>
        <w:fldChar w:fldCharType="begin"/>
      </w:r>
      <w:r>
        <w:instrText xml:space="preserve"> HYPERLINK \l "_Toc5382" </w:instrText>
      </w:r>
      <w:r>
        <w:fldChar w:fldCharType="separate"/>
      </w:r>
      <w:r>
        <w:rPr>
          <w:rFonts w:eastAsia="楷体"/>
          <w:sz w:val="32"/>
          <w:szCs w:val="32"/>
        </w:rPr>
        <w:t>（二）项目绩效目标</w:t>
      </w:r>
      <w:r>
        <w:rPr>
          <w:sz w:val="32"/>
          <w:szCs w:val="32"/>
        </w:rPr>
        <w:tab/>
      </w:r>
      <w:r>
        <w:rPr>
          <w:sz w:val="32"/>
          <w:szCs w:val="32"/>
        </w:rPr>
        <w:t>3</w:t>
      </w:r>
      <w:r>
        <w:rPr>
          <w:sz w:val="32"/>
          <w:szCs w:val="32"/>
        </w:rPr>
        <w:fldChar w:fldCharType="end"/>
      </w:r>
    </w:p>
    <w:p>
      <w:pPr>
        <w:pStyle w:val="12"/>
        <w:tabs>
          <w:tab w:val="right" w:leader="dot" w:pos="8845"/>
        </w:tabs>
        <w:rPr>
          <w:sz w:val="32"/>
          <w:szCs w:val="32"/>
        </w:rPr>
      </w:pPr>
      <w:r>
        <w:fldChar w:fldCharType="begin"/>
      </w:r>
      <w:r>
        <w:instrText xml:space="preserve"> HYPERLINK \l "_Toc13666" </w:instrText>
      </w:r>
      <w:r>
        <w:fldChar w:fldCharType="separate"/>
      </w:r>
      <w:r>
        <w:rPr>
          <w:rFonts w:eastAsia="黑体"/>
          <w:sz w:val="32"/>
          <w:szCs w:val="32"/>
          <w:lang w:eastAsia="zh-Hans"/>
        </w:rPr>
        <w:t>二、绩效评价工作开展情况</w:t>
      </w:r>
      <w:r>
        <w:rPr>
          <w:sz w:val="32"/>
          <w:szCs w:val="32"/>
        </w:rPr>
        <w:tab/>
      </w:r>
      <w:r>
        <w:rPr>
          <w:sz w:val="32"/>
          <w:szCs w:val="32"/>
        </w:rPr>
        <w:t>4</w:t>
      </w:r>
      <w:r>
        <w:rPr>
          <w:sz w:val="32"/>
          <w:szCs w:val="32"/>
        </w:rPr>
        <w:fldChar w:fldCharType="end"/>
      </w:r>
    </w:p>
    <w:p>
      <w:pPr>
        <w:pStyle w:val="14"/>
        <w:tabs>
          <w:tab w:val="right" w:leader="dot" w:pos="8845"/>
        </w:tabs>
        <w:rPr>
          <w:sz w:val="32"/>
          <w:szCs w:val="32"/>
        </w:rPr>
      </w:pPr>
      <w:r>
        <w:fldChar w:fldCharType="begin"/>
      </w:r>
      <w:r>
        <w:instrText xml:space="preserve"> HYPERLINK \l "_Toc11575" </w:instrText>
      </w:r>
      <w:r>
        <w:fldChar w:fldCharType="separate"/>
      </w:r>
      <w:r>
        <w:rPr>
          <w:rFonts w:eastAsia="楷体_GB2312"/>
          <w:sz w:val="32"/>
          <w:szCs w:val="32"/>
        </w:rPr>
        <w:t>（一）绩效评价目的、对象和范围</w:t>
      </w:r>
      <w:r>
        <w:rPr>
          <w:sz w:val="32"/>
          <w:szCs w:val="32"/>
        </w:rPr>
        <w:tab/>
      </w:r>
      <w:r>
        <w:rPr>
          <w:sz w:val="32"/>
          <w:szCs w:val="32"/>
        </w:rPr>
        <w:t>4</w:t>
      </w:r>
      <w:r>
        <w:rPr>
          <w:sz w:val="32"/>
          <w:szCs w:val="32"/>
        </w:rPr>
        <w:fldChar w:fldCharType="end"/>
      </w:r>
    </w:p>
    <w:p>
      <w:pPr>
        <w:pStyle w:val="14"/>
        <w:tabs>
          <w:tab w:val="right" w:leader="dot" w:pos="8845"/>
        </w:tabs>
        <w:rPr>
          <w:sz w:val="32"/>
          <w:szCs w:val="32"/>
        </w:rPr>
      </w:pPr>
      <w:r>
        <w:fldChar w:fldCharType="begin"/>
      </w:r>
      <w:r>
        <w:instrText xml:space="preserve"> HYPERLINK \l "_Toc13934" </w:instrText>
      </w:r>
      <w:r>
        <w:fldChar w:fldCharType="separate"/>
      </w:r>
      <w:r>
        <w:rPr>
          <w:rFonts w:eastAsia="楷体_GB2312"/>
          <w:sz w:val="32"/>
          <w:szCs w:val="32"/>
        </w:rPr>
        <w:t>（二）绩效评价原则、评价指标体系、评价方法和评价标准</w:t>
      </w:r>
      <w:r>
        <w:rPr>
          <w:sz w:val="32"/>
          <w:szCs w:val="32"/>
        </w:rPr>
        <w:tab/>
      </w:r>
      <w:r>
        <w:rPr>
          <w:sz w:val="32"/>
          <w:szCs w:val="32"/>
        </w:rPr>
        <w:t>4</w:t>
      </w:r>
      <w:r>
        <w:rPr>
          <w:sz w:val="32"/>
          <w:szCs w:val="32"/>
        </w:rPr>
        <w:fldChar w:fldCharType="end"/>
      </w:r>
    </w:p>
    <w:p>
      <w:pPr>
        <w:pStyle w:val="14"/>
        <w:tabs>
          <w:tab w:val="right" w:leader="dot" w:pos="8845"/>
        </w:tabs>
        <w:rPr>
          <w:sz w:val="32"/>
          <w:szCs w:val="32"/>
        </w:rPr>
      </w:pPr>
      <w:r>
        <w:fldChar w:fldCharType="begin"/>
      </w:r>
      <w:r>
        <w:instrText xml:space="preserve"> HYPERLINK \l "_Toc5714" </w:instrText>
      </w:r>
      <w:r>
        <w:fldChar w:fldCharType="separate"/>
      </w:r>
      <w:r>
        <w:rPr>
          <w:rFonts w:eastAsia="楷体_GB2312"/>
          <w:sz w:val="32"/>
          <w:szCs w:val="32"/>
        </w:rPr>
        <w:t>（三）绩效评价工作过程</w:t>
      </w:r>
      <w:r>
        <w:rPr>
          <w:sz w:val="32"/>
          <w:szCs w:val="32"/>
        </w:rPr>
        <w:tab/>
      </w:r>
      <w:r>
        <w:rPr>
          <w:sz w:val="32"/>
          <w:szCs w:val="32"/>
        </w:rPr>
        <w:t>6</w:t>
      </w:r>
      <w:r>
        <w:rPr>
          <w:sz w:val="32"/>
          <w:szCs w:val="32"/>
        </w:rPr>
        <w:fldChar w:fldCharType="end"/>
      </w:r>
    </w:p>
    <w:p>
      <w:pPr>
        <w:pStyle w:val="12"/>
        <w:tabs>
          <w:tab w:val="right" w:leader="dot" w:pos="8845"/>
        </w:tabs>
        <w:rPr>
          <w:sz w:val="32"/>
          <w:szCs w:val="32"/>
        </w:rPr>
      </w:pPr>
      <w:r>
        <w:fldChar w:fldCharType="begin"/>
      </w:r>
      <w:r>
        <w:instrText xml:space="preserve"> HYPERLINK \l "_Toc23291" </w:instrText>
      </w:r>
      <w:r>
        <w:fldChar w:fldCharType="separate"/>
      </w:r>
      <w:r>
        <w:rPr>
          <w:rFonts w:eastAsia="黑体"/>
          <w:sz w:val="32"/>
          <w:szCs w:val="32"/>
          <w:lang w:eastAsia="zh-Hans"/>
        </w:rPr>
        <w:t>三、综合评价情况及评价结论</w:t>
      </w:r>
      <w:r>
        <w:rPr>
          <w:sz w:val="32"/>
          <w:szCs w:val="32"/>
        </w:rPr>
        <w:tab/>
      </w:r>
      <w:r>
        <w:rPr>
          <w:sz w:val="32"/>
          <w:szCs w:val="32"/>
        </w:rPr>
        <w:t>8</w:t>
      </w:r>
      <w:r>
        <w:rPr>
          <w:sz w:val="32"/>
          <w:szCs w:val="32"/>
        </w:rPr>
        <w:fldChar w:fldCharType="end"/>
      </w:r>
    </w:p>
    <w:p>
      <w:pPr>
        <w:pStyle w:val="12"/>
        <w:tabs>
          <w:tab w:val="right" w:leader="dot" w:pos="8845"/>
        </w:tabs>
        <w:rPr>
          <w:sz w:val="32"/>
          <w:szCs w:val="32"/>
        </w:rPr>
      </w:pPr>
      <w:r>
        <w:fldChar w:fldCharType="begin"/>
      </w:r>
      <w:r>
        <w:instrText xml:space="preserve"> HYPERLINK \l "_Toc6962" </w:instrText>
      </w:r>
      <w:r>
        <w:fldChar w:fldCharType="separate"/>
      </w:r>
      <w:r>
        <w:rPr>
          <w:rFonts w:eastAsia="黑体"/>
          <w:sz w:val="32"/>
          <w:szCs w:val="32"/>
          <w:lang w:eastAsia="zh-Hans"/>
        </w:rPr>
        <w:t>四、绩效评价指标分析</w:t>
      </w:r>
      <w:r>
        <w:rPr>
          <w:sz w:val="32"/>
          <w:szCs w:val="32"/>
        </w:rPr>
        <w:tab/>
      </w:r>
      <w:r>
        <w:rPr>
          <w:sz w:val="32"/>
          <w:szCs w:val="32"/>
        </w:rPr>
        <w:t>8</w:t>
      </w:r>
      <w:r>
        <w:rPr>
          <w:sz w:val="32"/>
          <w:szCs w:val="32"/>
        </w:rPr>
        <w:fldChar w:fldCharType="end"/>
      </w:r>
    </w:p>
    <w:p>
      <w:pPr>
        <w:pStyle w:val="14"/>
        <w:tabs>
          <w:tab w:val="right" w:leader="dot" w:pos="8845"/>
        </w:tabs>
        <w:rPr>
          <w:sz w:val="32"/>
          <w:szCs w:val="32"/>
        </w:rPr>
      </w:pPr>
      <w:r>
        <w:fldChar w:fldCharType="begin"/>
      </w:r>
      <w:r>
        <w:instrText xml:space="preserve"> HYPERLINK \l "_Toc15979" </w:instrText>
      </w:r>
      <w:r>
        <w:fldChar w:fldCharType="separate"/>
      </w:r>
      <w:r>
        <w:rPr>
          <w:rFonts w:eastAsia="楷体_GB2312"/>
          <w:sz w:val="32"/>
          <w:szCs w:val="32"/>
        </w:rPr>
        <w:t>（一）项目决策情况评价分析</w:t>
      </w:r>
      <w:r>
        <w:rPr>
          <w:sz w:val="32"/>
          <w:szCs w:val="32"/>
        </w:rPr>
        <w:tab/>
      </w:r>
      <w:r>
        <w:rPr>
          <w:sz w:val="32"/>
          <w:szCs w:val="32"/>
        </w:rPr>
        <w:t>8</w:t>
      </w:r>
      <w:r>
        <w:rPr>
          <w:sz w:val="32"/>
          <w:szCs w:val="32"/>
        </w:rPr>
        <w:fldChar w:fldCharType="end"/>
      </w:r>
    </w:p>
    <w:p>
      <w:pPr>
        <w:pStyle w:val="14"/>
        <w:tabs>
          <w:tab w:val="right" w:leader="dot" w:pos="8845"/>
        </w:tabs>
        <w:rPr>
          <w:sz w:val="32"/>
          <w:szCs w:val="32"/>
        </w:rPr>
      </w:pPr>
      <w:r>
        <w:fldChar w:fldCharType="begin"/>
      </w:r>
      <w:r>
        <w:instrText xml:space="preserve"> HYPERLINK \l "_Toc15830" </w:instrText>
      </w:r>
      <w:r>
        <w:fldChar w:fldCharType="separate"/>
      </w:r>
      <w:r>
        <w:rPr>
          <w:rFonts w:eastAsia="楷体_GB2312"/>
          <w:sz w:val="32"/>
          <w:szCs w:val="32"/>
        </w:rPr>
        <w:t>（二）项目过程情况评价分析</w:t>
      </w:r>
      <w:r>
        <w:rPr>
          <w:sz w:val="32"/>
          <w:szCs w:val="32"/>
        </w:rPr>
        <w:tab/>
      </w:r>
      <w:r>
        <w:rPr>
          <w:sz w:val="32"/>
          <w:szCs w:val="32"/>
        </w:rPr>
        <w:t>1</w:t>
      </w:r>
      <w:r>
        <w:rPr>
          <w:sz w:val="32"/>
          <w:szCs w:val="32"/>
        </w:rPr>
        <w:fldChar w:fldCharType="end"/>
      </w:r>
      <w:r>
        <w:rPr>
          <w:sz w:val="32"/>
          <w:szCs w:val="32"/>
        </w:rPr>
        <w:t>0</w:t>
      </w:r>
    </w:p>
    <w:p>
      <w:pPr>
        <w:pStyle w:val="14"/>
        <w:tabs>
          <w:tab w:val="right" w:leader="dot" w:pos="8845"/>
        </w:tabs>
        <w:rPr>
          <w:sz w:val="32"/>
          <w:szCs w:val="32"/>
        </w:rPr>
      </w:pPr>
      <w:r>
        <w:fldChar w:fldCharType="begin"/>
      </w:r>
      <w:r>
        <w:instrText xml:space="preserve"> HYPERLINK \l "_Toc1598" </w:instrText>
      </w:r>
      <w:r>
        <w:fldChar w:fldCharType="separate"/>
      </w:r>
      <w:r>
        <w:rPr>
          <w:rFonts w:eastAsia="楷体_GB2312"/>
          <w:sz w:val="32"/>
          <w:szCs w:val="32"/>
        </w:rPr>
        <w:t>（三）项目产出情况评价分析</w:t>
      </w:r>
      <w:r>
        <w:rPr>
          <w:sz w:val="32"/>
          <w:szCs w:val="32"/>
        </w:rPr>
        <w:tab/>
      </w:r>
      <w:r>
        <w:rPr>
          <w:sz w:val="32"/>
          <w:szCs w:val="32"/>
        </w:rPr>
        <w:t>1</w:t>
      </w:r>
      <w:r>
        <w:rPr>
          <w:sz w:val="32"/>
          <w:szCs w:val="32"/>
        </w:rPr>
        <w:fldChar w:fldCharType="end"/>
      </w:r>
      <w:r>
        <w:rPr>
          <w:sz w:val="32"/>
          <w:szCs w:val="32"/>
        </w:rPr>
        <w:t>4</w:t>
      </w:r>
    </w:p>
    <w:p>
      <w:pPr>
        <w:pStyle w:val="14"/>
        <w:tabs>
          <w:tab w:val="right" w:leader="dot" w:pos="8845"/>
        </w:tabs>
        <w:rPr>
          <w:sz w:val="32"/>
          <w:szCs w:val="32"/>
        </w:rPr>
      </w:pPr>
      <w:r>
        <w:fldChar w:fldCharType="begin"/>
      </w:r>
      <w:r>
        <w:instrText xml:space="preserve"> HYPERLINK \l "_Toc4925" </w:instrText>
      </w:r>
      <w:r>
        <w:fldChar w:fldCharType="separate"/>
      </w:r>
      <w:r>
        <w:rPr>
          <w:rFonts w:eastAsia="楷体_GB2312"/>
          <w:sz w:val="32"/>
          <w:szCs w:val="32"/>
        </w:rPr>
        <w:t>（四）项目效益情况评价分析</w:t>
      </w:r>
      <w:r>
        <w:rPr>
          <w:sz w:val="32"/>
          <w:szCs w:val="32"/>
        </w:rPr>
        <w:tab/>
      </w:r>
      <w:r>
        <w:rPr>
          <w:sz w:val="32"/>
          <w:szCs w:val="32"/>
        </w:rPr>
        <w:t>1</w:t>
      </w:r>
      <w:r>
        <w:rPr>
          <w:sz w:val="32"/>
          <w:szCs w:val="32"/>
        </w:rPr>
        <w:fldChar w:fldCharType="end"/>
      </w:r>
      <w:r>
        <w:rPr>
          <w:sz w:val="32"/>
          <w:szCs w:val="32"/>
        </w:rPr>
        <w:t>5</w:t>
      </w:r>
    </w:p>
    <w:p>
      <w:pPr>
        <w:pStyle w:val="12"/>
        <w:tabs>
          <w:tab w:val="right" w:leader="dot" w:pos="8845"/>
        </w:tabs>
        <w:rPr>
          <w:sz w:val="32"/>
          <w:szCs w:val="32"/>
        </w:rPr>
      </w:pPr>
      <w:r>
        <w:fldChar w:fldCharType="begin"/>
      </w:r>
      <w:r>
        <w:instrText xml:space="preserve"> HYPERLINK \l "_Toc19214" </w:instrText>
      </w:r>
      <w:r>
        <w:fldChar w:fldCharType="separate"/>
      </w:r>
      <w:r>
        <w:rPr>
          <w:rFonts w:eastAsia="黑体"/>
          <w:sz w:val="32"/>
          <w:szCs w:val="32"/>
          <w:lang w:eastAsia="zh-Hans"/>
        </w:rPr>
        <w:t>五、主要经验及做法、存在的问题及原因分析</w:t>
      </w:r>
      <w:r>
        <w:rPr>
          <w:sz w:val="32"/>
          <w:szCs w:val="32"/>
        </w:rPr>
        <w:tab/>
      </w:r>
      <w:r>
        <w:rPr>
          <w:sz w:val="32"/>
          <w:szCs w:val="32"/>
        </w:rPr>
        <w:t>1</w:t>
      </w:r>
      <w:r>
        <w:rPr>
          <w:sz w:val="32"/>
          <w:szCs w:val="32"/>
        </w:rPr>
        <w:fldChar w:fldCharType="end"/>
      </w:r>
      <w:r>
        <w:rPr>
          <w:sz w:val="32"/>
          <w:szCs w:val="32"/>
        </w:rPr>
        <w:t>6</w:t>
      </w:r>
    </w:p>
    <w:p>
      <w:pPr>
        <w:pStyle w:val="12"/>
        <w:tabs>
          <w:tab w:val="right" w:leader="dot" w:pos="8845"/>
        </w:tabs>
        <w:rPr>
          <w:sz w:val="32"/>
          <w:szCs w:val="32"/>
        </w:rPr>
      </w:pPr>
      <w:r>
        <w:fldChar w:fldCharType="begin"/>
      </w:r>
      <w:r>
        <w:instrText xml:space="preserve"> HYPERLINK \l "_Toc4828" </w:instrText>
      </w:r>
      <w:r>
        <w:fldChar w:fldCharType="separate"/>
      </w:r>
      <w:r>
        <w:rPr>
          <w:rFonts w:eastAsia="黑体"/>
          <w:sz w:val="32"/>
          <w:szCs w:val="32"/>
          <w:lang w:eastAsia="zh-Hans"/>
        </w:rPr>
        <w:t>六、有关建议</w:t>
      </w:r>
      <w:r>
        <w:rPr>
          <w:sz w:val="32"/>
          <w:szCs w:val="32"/>
        </w:rPr>
        <w:tab/>
      </w:r>
      <w:r>
        <w:rPr>
          <w:sz w:val="32"/>
          <w:szCs w:val="32"/>
        </w:rPr>
        <w:t>1</w:t>
      </w:r>
      <w:r>
        <w:rPr>
          <w:sz w:val="32"/>
          <w:szCs w:val="32"/>
        </w:rPr>
        <w:fldChar w:fldCharType="end"/>
      </w:r>
      <w:r>
        <w:rPr>
          <w:sz w:val="32"/>
          <w:szCs w:val="32"/>
        </w:rPr>
        <w:t>9</w:t>
      </w:r>
    </w:p>
    <w:p>
      <w:pPr>
        <w:pStyle w:val="12"/>
        <w:tabs>
          <w:tab w:val="right" w:leader="dot" w:pos="8845"/>
        </w:tabs>
        <w:rPr>
          <w:sz w:val="32"/>
          <w:szCs w:val="32"/>
        </w:rPr>
      </w:pPr>
      <w:r>
        <w:fldChar w:fldCharType="begin"/>
      </w:r>
      <w:r>
        <w:instrText xml:space="preserve"> HYPERLINK \l "_Toc2716" </w:instrText>
      </w:r>
      <w:r>
        <w:fldChar w:fldCharType="separate"/>
      </w:r>
      <w:r>
        <w:rPr>
          <w:rFonts w:eastAsia="黑体"/>
          <w:sz w:val="32"/>
          <w:szCs w:val="32"/>
          <w:lang w:eastAsia="zh-Hans"/>
        </w:rPr>
        <w:t>七、其他需要说明的问题</w:t>
      </w:r>
      <w:r>
        <w:rPr>
          <w:sz w:val="32"/>
          <w:szCs w:val="32"/>
        </w:rPr>
        <w:tab/>
      </w:r>
      <w:r>
        <w:rPr>
          <w:sz w:val="32"/>
          <w:szCs w:val="32"/>
        </w:rPr>
        <w:t>2</w:t>
      </w:r>
      <w:r>
        <w:rPr>
          <w:sz w:val="32"/>
          <w:szCs w:val="32"/>
        </w:rPr>
        <w:fldChar w:fldCharType="end"/>
      </w:r>
      <w:r>
        <w:rPr>
          <w:sz w:val="32"/>
          <w:szCs w:val="32"/>
        </w:rPr>
        <w:t>1</w:t>
      </w:r>
    </w:p>
    <w:p>
      <w:pPr>
        <w:pStyle w:val="12"/>
        <w:tabs>
          <w:tab w:val="right" w:leader="dot" w:pos="8835"/>
        </w:tabs>
        <w:spacing w:line="360" w:lineRule="auto"/>
        <w:rPr>
          <w:rFonts w:eastAsia="仿宋_GB2312"/>
          <w:sz w:val="32"/>
          <w:szCs w:val="32"/>
        </w:rPr>
      </w:pPr>
      <w:r>
        <w:rPr>
          <w:rFonts w:eastAsia="仿宋_GB2312"/>
          <w:kern w:val="0"/>
          <w:sz w:val="32"/>
          <w:szCs w:val="32"/>
        </w:rPr>
        <w:fldChar w:fldCharType="end"/>
      </w:r>
    </w:p>
    <w:p>
      <w:pPr>
        <w:pStyle w:val="12"/>
        <w:tabs>
          <w:tab w:val="right" w:leader="dot" w:pos="8835"/>
        </w:tabs>
        <w:spacing w:line="360" w:lineRule="auto"/>
        <w:rPr>
          <w:rFonts w:eastAsia="仿宋_GB2312"/>
          <w:sz w:val="32"/>
          <w:szCs w:val="32"/>
        </w:rPr>
      </w:pPr>
    </w:p>
    <w:p>
      <w:pPr>
        <w:widowControl/>
        <w:spacing w:before="156" w:beforeLines="50" w:after="156" w:afterLines="50"/>
        <w:rPr>
          <w:bCs/>
          <w:kern w:val="0"/>
          <w:sz w:val="24"/>
          <w:szCs w:val="24"/>
        </w:rPr>
        <w:sectPr>
          <w:footerReference r:id="rId6" w:type="default"/>
          <w:pgSz w:w="11906" w:h="16838"/>
          <w:pgMar w:top="2098" w:right="1474" w:bottom="1984" w:left="1587" w:header="851" w:footer="992" w:gutter="0"/>
          <w:pgNumType w:fmt="numberInDash" w:start="1"/>
          <w:cols w:space="720" w:num="1"/>
          <w:docGrid w:type="lines" w:linePitch="312" w:charSpace="0"/>
        </w:sectPr>
      </w:pPr>
    </w:p>
    <w:p>
      <w:pPr>
        <w:pStyle w:val="12"/>
        <w:tabs>
          <w:tab w:val="right" w:leader="dot" w:pos="8306"/>
        </w:tabs>
        <w:spacing w:line="600" w:lineRule="exact"/>
        <w:jc w:val="center"/>
        <w:rPr>
          <w:rFonts w:eastAsia="方正小标宋_GBK"/>
          <w:bCs/>
          <w:sz w:val="44"/>
          <w:szCs w:val="44"/>
        </w:rPr>
      </w:pPr>
      <w:r>
        <w:rPr>
          <w:rFonts w:hint="eastAsia" w:eastAsia="方正小标宋_GBK"/>
          <w:bCs/>
          <w:sz w:val="44"/>
          <w:szCs w:val="44"/>
        </w:rPr>
        <w:t>“</w:t>
      </w:r>
      <w:r>
        <w:rPr>
          <w:rFonts w:eastAsia="方正小标宋_GBK"/>
          <w:bCs/>
          <w:sz w:val="44"/>
          <w:szCs w:val="44"/>
        </w:rPr>
        <w:t>市级劳模专项补助资金</w:t>
      </w:r>
      <w:r>
        <w:rPr>
          <w:rFonts w:hint="eastAsia" w:eastAsia="方正小标宋_GBK"/>
          <w:bCs/>
          <w:sz w:val="44"/>
          <w:szCs w:val="44"/>
        </w:rPr>
        <w:t>”</w:t>
      </w:r>
      <w:r>
        <w:rPr>
          <w:rFonts w:eastAsia="方正小标宋_GBK"/>
          <w:bCs/>
          <w:sz w:val="44"/>
          <w:szCs w:val="44"/>
        </w:rPr>
        <w:t>项目支出</w:t>
      </w:r>
    </w:p>
    <w:p>
      <w:pPr>
        <w:pStyle w:val="12"/>
        <w:tabs>
          <w:tab w:val="right" w:leader="dot" w:pos="8306"/>
        </w:tabs>
        <w:spacing w:line="600" w:lineRule="exact"/>
        <w:jc w:val="center"/>
        <w:rPr>
          <w:rFonts w:eastAsia="方正小标宋_GBK"/>
          <w:bCs/>
          <w:sz w:val="44"/>
          <w:szCs w:val="44"/>
        </w:rPr>
      </w:pPr>
      <w:r>
        <w:rPr>
          <w:rFonts w:eastAsia="方正小标宋_GBK"/>
          <w:bCs/>
          <w:sz w:val="44"/>
          <w:szCs w:val="44"/>
        </w:rPr>
        <w:t>绩效评价报告</w:t>
      </w:r>
    </w:p>
    <w:p>
      <w:pPr>
        <w:spacing w:line="560" w:lineRule="exact"/>
        <w:ind w:firstLine="640" w:firstLineChars="200"/>
        <w:rPr>
          <w:rFonts w:eastAsia="仿宋_GB2312"/>
          <w:bCs/>
          <w:kern w:val="0"/>
          <w:sz w:val="32"/>
          <w:szCs w:val="28"/>
        </w:rPr>
      </w:pPr>
    </w:p>
    <w:p>
      <w:pPr>
        <w:spacing w:line="360" w:lineRule="auto"/>
        <w:ind w:firstLine="640" w:firstLineChars="200"/>
        <w:rPr>
          <w:rFonts w:eastAsia="黑体"/>
          <w:bCs/>
          <w:kern w:val="0"/>
          <w:sz w:val="32"/>
          <w:szCs w:val="28"/>
        </w:rPr>
      </w:pPr>
      <w:r>
        <w:rPr>
          <w:rFonts w:eastAsia="仿宋_GB2312"/>
          <w:color w:val="000000"/>
          <w:kern w:val="0"/>
          <w:sz w:val="32"/>
          <w:szCs w:val="32"/>
        </w:rPr>
        <w:t>为全面落实《中共中央 国务院关于全面实施预算绩效管理的意见》（中发〔2018〕34号）文件精神，强化以结果为导向的预算绩效管理机制，规范财政支出管理，切实增强部门支出责任和效率意识，提高财政资金使用效益。根据《中华人民共和国预算法》，依据《中共北京市委 北京市人民政府关于全面实施预算绩效管理的实施意见》（京发〔2019〕12号）、《北京市预算绩效管理办法》（京财绩效〔2019〕2129号）和</w:t>
      </w:r>
      <w:bookmarkStart w:id="0" w:name="_Hlk68003568"/>
      <w:r>
        <w:rPr>
          <w:rFonts w:eastAsia="仿宋_GB2312"/>
          <w:color w:val="000000"/>
          <w:kern w:val="0"/>
          <w:sz w:val="32"/>
          <w:szCs w:val="32"/>
        </w:rPr>
        <w:t>《北京市项目支出绩效评价管理办法》（京财绩效〔2020〕2146号）</w:t>
      </w:r>
      <w:bookmarkEnd w:id="0"/>
      <w:r>
        <w:rPr>
          <w:rFonts w:eastAsia="仿宋_GB2312"/>
          <w:color w:val="000000"/>
          <w:kern w:val="0"/>
          <w:sz w:val="32"/>
          <w:szCs w:val="32"/>
        </w:rPr>
        <w:t>等文件，</w:t>
      </w:r>
      <w:bookmarkStart w:id="1" w:name="_Hlk68002387"/>
      <w:r>
        <w:rPr>
          <w:rFonts w:eastAsia="仿宋_GB2312"/>
          <w:color w:val="000000"/>
          <w:kern w:val="0"/>
          <w:sz w:val="32"/>
          <w:szCs w:val="32"/>
        </w:rPr>
        <w:t>北京</w:t>
      </w:r>
      <w:bookmarkEnd w:id="1"/>
      <w:r>
        <w:rPr>
          <w:rFonts w:eastAsia="仿宋_GB2312"/>
          <w:color w:val="000000"/>
          <w:kern w:val="0"/>
          <w:sz w:val="32"/>
          <w:szCs w:val="32"/>
        </w:rPr>
        <w:t>市总工会（以下简称市总工会）按照《北京市财政局关于开展2022年全面预算绩效管理工作的通知》（京财绩效〔2022〕669号）文件部署要求，组建重点项目绩效评价工作组（以下简称评价工作组）对</w:t>
      </w:r>
      <w:r>
        <w:rPr>
          <w:rFonts w:eastAsia="仿宋_GB2312"/>
          <w:bCs/>
          <w:sz w:val="32"/>
          <w:szCs w:val="32"/>
        </w:rPr>
        <w:t>北京市总工会劳模工作部</w:t>
      </w:r>
      <w:r>
        <w:rPr>
          <w:rFonts w:eastAsia="仿宋_GB2312"/>
          <w:color w:val="000000"/>
          <w:kern w:val="0"/>
          <w:sz w:val="32"/>
          <w:szCs w:val="32"/>
        </w:rPr>
        <w:t>（以下简称劳模工作部或实施部门）</w:t>
      </w:r>
      <w:r>
        <w:rPr>
          <w:rFonts w:eastAsia="仿宋_GB2312"/>
          <w:bCs/>
          <w:sz w:val="32"/>
          <w:szCs w:val="32"/>
        </w:rPr>
        <w:t>负责实施的“市级劳模专项补助资金”项目（以下简称该项目）的绩效情况实施评价，形成本报告</w:t>
      </w:r>
      <w:r>
        <w:rPr>
          <w:rFonts w:eastAsia="仿宋_GB2312"/>
          <w:color w:val="000000"/>
          <w:kern w:val="0"/>
          <w:sz w:val="32"/>
          <w:szCs w:val="32"/>
        </w:rPr>
        <w:t>。</w:t>
      </w:r>
      <w:bookmarkStart w:id="2" w:name="_Toc17703870"/>
      <w:bookmarkStart w:id="3" w:name="_Toc13527"/>
    </w:p>
    <w:p>
      <w:pPr>
        <w:adjustRightInd w:val="0"/>
        <w:spacing w:line="360" w:lineRule="auto"/>
        <w:ind w:firstLine="640"/>
        <w:rPr>
          <w:rFonts w:eastAsia="黑体"/>
          <w:bCs/>
          <w:kern w:val="0"/>
          <w:sz w:val="32"/>
          <w:szCs w:val="28"/>
        </w:rPr>
      </w:pPr>
      <w:r>
        <w:rPr>
          <w:rFonts w:eastAsia="黑体"/>
          <w:bCs/>
          <w:kern w:val="0"/>
          <w:sz w:val="32"/>
          <w:szCs w:val="28"/>
        </w:rPr>
        <w:t>一、项目基本情况</w:t>
      </w:r>
      <w:bookmarkEnd w:id="2"/>
      <w:bookmarkEnd w:id="3"/>
    </w:p>
    <w:p>
      <w:pPr>
        <w:adjustRightInd w:val="0"/>
        <w:spacing w:line="360" w:lineRule="auto"/>
        <w:ind w:firstLine="640"/>
        <w:rPr>
          <w:rFonts w:ascii="楷体" w:hAnsi="楷体" w:eastAsia="楷体" w:cs="楷体"/>
          <w:b/>
          <w:sz w:val="32"/>
          <w:szCs w:val="32"/>
        </w:rPr>
      </w:pPr>
      <w:bookmarkStart w:id="4" w:name="_Toc17703871"/>
      <w:bookmarkStart w:id="5" w:name="_Toc7595"/>
      <w:r>
        <w:rPr>
          <w:rFonts w:hint="eastAsia" w:ascii="楷体" w:hAnsi="楷体" w:eastAsia="楷体" w:cs="楷体"/>
          <w:b/>
          <w:sz w:val="32"/>
          <w:szCs w:val="32"/>
        </w:rPr>
        <w:t>（一）项目</w:t>
      </w:r>
      <w:bookmarkEnd w:id="4"/>
      <w:r>
        <w:rPr>
          <w:rFonts w:hint="eastAsia" w:ascii="楷体" w:hAnsi="楷体" w:eastAsia="楷体" w:cs="楷体"/>
          <w:b/>
          <w:sz w:val="32"/>
          <w:szCs w:val="32"/>
        </w:rPr>
        <w:t>概况</w:t>
      </w:r>
      <w:bookmarkEnd w:id="5"/>
    </w:p>
    <w:p>
      <w:pPr>
        <w:adjustRightInd w:val="0"/>
        <w:spacing w:line="360" w:lineRule="auto"/>
        <w:ind w:firstLine="640"/>
        <w:rPr>
          <w:rFonts w:eastAsia="仿宋_GB2312"/>
          <w:bCs/>
          <w:sz w:val="32"/>
          <w:szCs w:val="32"/>
        </w:rPr>
      </w:pPr>
      <w:r>
        <w:rPr>
          <w:rFonts w:eastAsia="仿宋_GB2312"/>
          <w:bCs/>
          <w:sz w:val="32"/>
          <w:szCs w:val="32"/>
        </w:rPr>
        <w:t>1.项目基本情况</w:t>
      </w:r>
    </w:p>
    <w:p>
      <w:pPr>
        <w:adjustRightInd w:val="0"/>
        <w:spacing w:line="360" w:lineRule="auto"/>
        <w:ind w:firstLine="640"/>
        <w:rPr>
          <w:rFonts w:eastAsia="仿宋_GB2312"/>
          <w:bCs/>
          <w:sz w:val="32"/>
          <w:szCs w:val="32"/>
          <w:highlight w:val="yellow"/>
        </w:rPr>
      </w:pPr>
      <w:r>
        <w:rPr>
          <w:rFonts w:eastAsia="仿宋_GB2312"/>
          <w:bCs/>
          <w:sz w:val="32"/>
          <w:szCs w:val="32"/>
        </w:rPr>
        <w:t>项目名称：市级劳模专项补助资金</w:t>
      </w:r>
    </w:p>
    <w:p>
      <w:pPr>
        <w:adjustRightInd w:val="0"/>
        <w:spacing w:line="360" w:lineRule="auto"/>
        <w:ind w:firstLine="640"/>
        <w:rPr>
          <w:rFonts w:eastAsia="仿宋_GB2312"/>
          <w:bCs/>
          <w:sz w:val="32"/>
          <w:szCs w:val="32"/>
        </w:rPr>
      </w:pPr>
      <w:r>
        <w:rPr>
          <w:rFonts w:eastAsia="仿宋_GB2312"/>
          <w:bCs/>
          <w:sz w:val="32"/>
          <w:szCs w:val="32"/>
        </w:rPr>
        <w:t>实施部门：北京市总工会劳模工作部</w:t>
      </w:r>
    </w:p>
    <w:p>
      <w:pPr>
        <w:adjustRightInd w:val="0"/>
        <w:spacing w:line="360" w:lineRule="auto"/>
        <w:ind w:firstLine="640"/>
        <w:rPr>
          <w:rFonts w:eastAsia="仿宋_GB2312"/>
          <w:bCs/>
          <w:sz w:val="32"/>
          <w:szCs w:val="32"/>
        </w:rPr>
      </w:pPr>
      <w:r>
        <w:rPr>
          <w:rFonts w:eastAsia="仿宋_GB2312"/>
          <w:bCs/>
          <w:kern w:val="44"/>
          <w:sz w:val="32"/>
          <w:szCs w:val="32"/>
        </w:rPr>
        <w:t>项目类型：延续项目</w:t>
      </w:r>
    </w:p>
    <w:p>
      <w:pPr>
        <w:adjustRightInd w:val="0"/>
        <w:spacing w:line="360" w:lineRule="auto"/>
        <w:ind w:firstLine="640"/>
        <w:rPr>
          <w:rFonts w:eastAsia="仿宋_GB2312"/>
          <w:bCs/>
          <w:sz w:val="32"/>
          <w:szCs w:val="32"/>
        </w:rPr>
      </w:pPr>
      <w:r>
        <w:rPr>
          <w:rFonts w:eastAsia="仿宋_GB2312"/>
          <w:bCs/>
          <w:sz w:val="32"/>
          <w:szCs w:val="32"/>
        </w:rPr>
        <w:t>项目开始时间：2021年1月</w:t>
      </w:r>
    </w:p>
    <w:p>
      <w:pPr>
        <w:adjustRightInd w:val="0"/>
        <w:spacing w:line="360" w:lineRule="auto"/>
        <w:ind w:firstLine="640"/>
        <w:rPr>
          <w:rFonts w:eastAsia="仿宋_GB2312"/>
          <w:bCs/>
          <w:sz w:val="32"/>
          <w:szCs w:val="32"/>
        </w:rPr>
      </w:pPr>
      <w:r>
        <w:rPr>
          <w:rFonts w:eastAsia="仿宋_GB2312"/>
          <w:bCs/>
          <w:sz w:val="32"/>
          <w:szCs w:val="32"/>
        </w:rPr>
        <w:t>项目完成时间：2021年12月</w:t>
      </w:r>
    </w:p>
    <w:p>
      <w:pPr>
        <w:adjustRightInd w:val="0"/>
        <w:spacing w:line="360" w:lineRule="auto"/>
        <w:ind w:firstLine="640"/>
        <w:rPr>
          <w:rFonts w:eastAsia="仿宋_GB2312"/>
          <w:bCs/>
          <w:sz w:val="32"/>
          <w:szCs w:val="32"/>
        </w:rPr>
      </w:pPr>
      <w:r>
        <w:rPr>
          <w:rFonts w:eastAsia="仿宋_GB2312"/>
          <w:bCs/>
          <w:sz w:val="32"/>
          <w:szCs w:val="32"/>
        </w:rPr>
        <w:t>2.项目背景</w:t>
      </w:r>
    </w:p>
    <w:p>
      <w:pPr>
        <w:adjustRightInd w:val="0"/>
        <w:spacing w:line="360" w:lineRule="auto"/>
        <w:ind w:firstLine="640"/>
        <w:rPr>
          <w:rFonts w:eastAsia="仿宋_GB2312"/>
          <w:bCs/>
          <w:sz w:val="32"/>
          <w:szCs w:val="32"/>
        </w:rPr>
      </w:pPr>
      <w:r>
        <w:rPr>
          <w:rFonts w:eastAsia="仿宋_GB2312"/>
          <w:bCs/>
          <w:sz w:val="32"/>
          <w:szCs w:val="32"/>
        </w:rPr>
        <w:t>2011年中华全国总工会印发《关于加强劳动模范工作的意见》（总工发〔2011〕15号）</w:t>
      </w:r>
      <w:r>
        <w:rPr>
          <w:rFonts w:hint="eastAsia" w:eastAsia="仿宋_GB2312"/>
          <w:bCs/>
          <w:sz w:val="32"/>
          <w:szCs w:val="32"/>
        </w:rPr>
        <w:t>，意见</w:t>
      </w:r>
      <w:r>
        <w:rPr>
          <w:rFonts w:eastAsia="仿宋_GB2312"/>
          <w:bCs/>
          <w:sz w:val="32"/>
          <w:szCs w:val="32"/>
        </w:rPr>
        <w:t>指出</w:t>
      </w:r>
      <w:r>
        <w:rPr>
          <w:rFonts w:hint="eastAsia" w:eastAsia="仿宋_GB2312"/>
          <w:bCs/>
          <w:sz w:val="32"/>
          <w:szCs w:val="32"/>
        </w:rPr>
        <w:t>“</w:t>
      </w:r>
      <w:r>
        <w:rPr>
          <w:rFonts w:eastAsia="仿宋_GB2312"/>
          <w:bCs/>
          <w:sz w:val="32"/>
          <w:szCs w:val="32"/>
        </w:rPr>
        <w:t>做好劳模管理服务工作是各级工会的重要职责。做好劳模帮扶资金的发放工作，将离退休老劳模、困难企业劳模、农民劳模和身患重病劳模作为重点，切实用好帮扶资金。研究探索劳模考核激励机制，定期安排劳模体检和休养。</w:t>
      </w:r>
      <w:r>
        <w:rPr>
          <w:rFonts w:hint="eastAsia" w:eastAsia="仿宋_GB2312"/>
          <w:bCs/>
          <w:sz w:val="32"/>
          <w:szCs w:val="32"/>
        </w:rPr>
        <w:t>”</w:t>
      </w:r>
    </w:p>
    <w:p>
      <w:pPr>
        <w:adjustRightInd w:val="0"/>
        <w:spacing w:line="360" w:lineRule="auto"/>
        <w:ind w:firstLine="640"/>
        <w:rPr>
          <w:rFonts w:eastAsia="仿宋_GB2312"/>
          <w:bCs/>
          <w:sz w:val="32"/>
          <w:szCs w:val="32"/>
        </w:rPr>
      </w:pPr>
      <w:r>
        <w:rPr>
          <w:rFonts w:eastAsia="仿宋_GB2312"/>
          <w:bCs/>
          <w:sz w:val="32"/>
          <w:szCs w:val="32"/>
        </w:rPr>
        <w:t>2015年市总工会印发《关于进一步加强劳模队伍建设的实施方案》（京工发〔2015〕1号），</w:t>
      </w:r>
      <w:r>
        <w:rPr>
          <w:rFonts w:hint="eastAsia" w:eastAsia="仿宋_GB2312"/>
          <w:bCs/>
          <w:sz w:val="32"/>
          <w:szCs w:val="32"/>
        </w:rPr>
        <w:t>方案提</w:t>
      </w:r>
      <w:r>
        <w:rPr>
          <w:rFonts w:eastAsia="仿宋_GB2312"/>
          <w:bCs/>
          <w:sz w:val="32"/>
          <w:szCs w:val="32"/>
        </w:rPr>
        <w:t>出</w:t>
      </w:r>
      <w:r>
        <w:rPr>
          <w:rFonts w:hint="eastAsia" w:eastAsia="仿宋_GB2312"/>
          <w:bCs/>
          <w:sz w:val="32"/>
          <w:szCs w:val="32"/>
        </w:rPr>
        <w:t>要“</w:t>
      </w:r>
      <w:r>
        <w:rPr>
          <w:rFonts w:eastAsia="仿宋_GB2312"/>
          <w:bCs/>
          <w:sz w:val="32"/>
          <w:szCs w:val="32"/>
        </w:rPr>
        <w:t>建立劳模困难帮扶机制，为低收入劳模、特殊困难和临时突发困难劳模提供及时帮扶。制定实施首都劳模休养规划，力争五年内组织1.2万名劳模分期分批集中休养。建立首都劳模健康管理中心，完善劳模健康管理信息系统，开展个性化体检健康服务，实现劳模每年至少体检一次</w:t>
      </w:r>
      <w:r>
        <w:rPr>
          <w:rFonts w:hint="eastAsia" w:eastAsia="仿宋_GB2312"/>
          <w:bCs/>
          <w:sz w:val="32"/>
          <w:szCs w:val="32"/>
        </w:rPr>
        <w:t>”，据</w:t>
      </w:r>
      <w:r>
        <w:rPr>
          <w:rFonts w:eastAsia="仿宋_GB2312"/>
          <w:bCs/>
          <w:sz w:val="32"/>
          <w:szCs w:val="32"/>
        </w:rPr>
        <w:t>此劳模工作部根据相关文件精神，</w:t>
      </w:r>
      <w:r>
        <w:rPr>
          <w:rFonts w:hint="eastAsia" w:eastAsia="仿宋_GB2312"/>
          <w:bCs/>
          <w:sz w:val="32"/>
          <w:szCs w:val="32"/>
        </w:rPr>
        <w:t>在2</w:t>
      </w:r>
      <w:r>
        <w:rPr>
          <w:rFonts w:eastAsia="仿宋_GB2312"/>
          <w:bCs/>
          <w:sz w:val="32"/>
          <w:szCs w:val="32"/>
        </w:rPr>
        <w:t>021</w:t>
      </w:r>
      <w:r>
        <w:rPr>
          <w:rFonts w:hint="eastAsia" w:eastAsia="仿宋_GB2312"/>
          <w:bCs/>
          <w:sz w:val="32"/>
          <w:szCs w:val="32"/>
        </w:rPr>
        <w:t>年继续</w:t>
      </w:r>
      <w:r>
        <w:rPr>
          <w:rFonts w:eastAsia="仿宋_GB2312"/>
          <w:bCs/>
          <w:sz w:val="32"/>
          <w:szCs w:val="32"/>
        </w:rPr>
        <w:t>实施</w:t>
      </w:r>
      <w:r>
        <w:rPr>
          <w:rFonts w:hint="eastAsia" w:eastAsia="仿宋_GB2312"/>
          <w:bCs/>
          <w:sz w:val="32"/>
          <w:szCs w:val="32"/>
        </w:rPr>
        <w:t>该</w:t>
      </w:r>
      <w:r>
        <w:rPr>
          <w:rFonts w:eastAsia="仿宋_GB2312"/>
          <w:bCs/>
          <w:sz w:val="32"/>
          <w:szCs w:val="32"/>
        </w:rPr>
        <w:t>项目。</w:t>
      </w:r>
    </w:p>
    <w:p>
      <w:pPr>
        <w:adjustRightInd w:val="0"/>
        <w:spacing w:line="360" w:lineRule="auto"/>
        <w:ind w:firstLine="640"/>
        <w:rPr>
          <w:rFonts w:eastAsia="仿宋_GB2312"/>
          <w:bCs/>
          <w:sz w:val="32"/>
          <w:szCs w:val="32"/>
        </w:rPr>
      </w:pPr>
      <w:r>
        <w:rPr>
          <w:rFonts w:eastAsia="仿宋_GB2312"/>
          <w:bCs/>
          <w:sz w:val="32"/>
          <w:szCs w:val="32"/>
        </w:rPr>
        <w:t>3.主要内容及实施情况</w:t>
      </w:r>
    </w:p>
    <w:p>
      <w:pPr>
        <w:widowControl/>
        <w:adjustRightInd w:val="0"/>
        <w:spacing w:line="360" w:lineRule="auto"/>
        <w:ind w:firstLine="640" w:firstLineChars="200"/>
        <w:rPr>
          <w:rFonts w:eastAsia="仿宋_GB2312"/>
          <w:bCs/>
          <w:sz w:val="32"/>
          <w:szCs w:val="32"/>
        </w:rPr>
      </w:pPr>
      <w:r>
        <w:rPr>
          <w:rFonts w:eastAsia="仿宋_GB2312"/>
          <w:bCs/>
          <w:sz w:val="32"/>
          <w:szCs w:val="32"/>
        </w:rPr>
        <w:t>通过发放和使用市级劳模专项补助资金，切实保障劳模切身利益，</w:t>
      </w:r>
      <w:r>
        <w:rPr>
          <w:rFonts w:hint="eastAsia" w:eastAsia="仿宋_GB2312"/>
          <w:bCs/>
          <w:sz w:val="32"/>
          <w:szCs w:val="32"/>
        </w:rPr>
        <w:t>提高</w:t>
      </w:r>
      <w:r>
        <w:rPr>
          <w:rFonts w:eastAsia="仿宋_GB2312"/>
          <w:bCs/>
          <w:sz w:val="32"/>
          <w:szCs w:val="32"/>
        </w:rPr>
        <w:t>低收入劳模生活水平，妥善解决劳模日常生活中存在的特殊困难。项目具体内容主要包含</w:t>
      </w:r>
      <w:r>
        <w:rPr>
          <w:rFonts w:hint="eastAsia" w:eastAsia="仿宋_GB2312"/>
          <w:bCs/>
          <w:sz w:val="32"/>
          <w:szCs w:val="32"/>
        </w:rPr>
        <w:t>开展</w:t>
      </w:r>
      <w:r>
        <w:rPr>
          <w:rFonts w:eastAsia="仿宋_GB2312"/>
          <w:bCs/>
          <w:sz w:val="32"/>
          <w:szCs w:val="32"/>
        </w:rPr>
        <w:t>春节慰问、生活困难补助、特殊困难帮扶、健康体检、健康疗休养等五个方面。</w:t>
      </w:r>
    </w:p>
    <w:p>
      <w:pPr>
        <w:widowControl/>
        <w:adjustRightInd w:val="0"/>
        <w:spacing w:line="360" w:lineRule="auto"/>
        <w:ind w:firstLine="640" w:firstLineChars="200"/>
        <w:rPr>
          <w:rFonts w:eastAsia="仿宋_GB2312"/>
          <w:sz w:val="32"/>
          <w:szCs w:val="32"/>
        </w:rPr>
      </w:pPr>
      <w:r>
        <w:rPr>
          <w:rFonts w:eastAsia="仿宋_GB2312"/>
          <w:sz w:val="32"/>
          <w:szCs w:val="32"/>
        </w:rPr>
        <w:t>4.资金投入和使用情况</w:t>
      </w:r>
    </w:p>
    <w:p>
      <w:pPr>
        <w:adjustRightInd w:val="0"/>
        <w:spacing w:line="360" w:lineRule="auto"/>
        <w:ind w:firstLine="640"/>
        <w:rPr>
          <w:rFonts w:eastAsia="仿宋_GB2312"/>
          <w:bCs/>
          <w:sz w:val="32"/>
          <w:szCs w:val="32"/>
        </w:rPr>
      </w:pPr>
      <w:r>
        <w:rPr>
          <w:rFonts w:eastAsia="仿宋_GB2312"/>
          <w:color w:val="000000"/>
          <w:kern w:val="0"/>
          <w:sz w:val="32"/>
          <w:szCs w:val="32"/>
        </w:rPr>
        <w:t>2021年该项目申请预算</w:t>
      </w:r>
      <w:r>
        <w:rPr>
          <w:rFonts w:hint="eastAsia" w:eastAsia="仿宋_GB2312"/>
          <w:color w:val="000000"/>
          <w:kern w:val="0"/>
          <w:sz w:val="32"/>
          <w:szCs w:val="32"/>
        </w:rPr>
        <w:t>金额</w:t>
      </w:r>
      <w:r>
        <w:rPr>
          <w:rFonts w:eastAsia="仿宋_GB2312"/>
          <w:bCs/>
          <w:sz w:val="32"/>
          <w:szCs w:val="32"/>
        </w:rPr>
        <w:t>3,092.495</w:t>
      </w:r>
      <w:r>
        <w:rPr>
          <w:rFonts w:eastAsia="仿宋_GB2312"/>
          <w:color w:val="000000"/>
          <w:kern w:val="0"/>
          <w:sz w:val="32"/>
          <w:szCs w:val="32"/>
        </w:rPr>
        <w:t>万元，根据《北京市财政局关于批复北京市总工会2021年预算的函》（京财党政群指〔2021〕138号）文件，共批复预算金额</w:t>
      </w:r>
      <w:r>
        <w:rPr>
          <w:rFonts w:eastAsia="仿宋_GB2312"/>
          <w:bCs/>
          <w:sz w:val="32"/>
          <w:szCs w:val="32"/>
        </w:rPr>
        <w:t>3,092.495万元，其中：春节慰问金1,315.00万元，生活困难补助金498.995万元，特殊困难帮扶金640.00万元，健康疗休养资金512.00万元，健康体检资金126.50万元。截至2021年底，</w:t>
      </w:r>
      <w:r>
        <w:rPr>
          <w:rFonts w:eastAsia="仿宋_GB2312"/>
          <w:color w:val="000000"/>
          <w:kern w:val="0"/>
          <w:sz w:val="32"/>
          <w:szCs w:val="32"/>
        </w:rPr>
        <w:t>支出资金2,580.37万元</w:t>
      </w:r>
      <w:r>
        <w:rPr>
          <w:rStyle w:val="18"/>
          <w:rFonts w:eastAsia="仿宋_GB2312"/>
          <w:color w:val="000000"/>
          <w:kern w:val="0"/>
          <w:sz w:val="32"/>
          <w:szCs w:val="32"/>
        </w:rPr>
        <w:footnoteReference w:id="0"/>
      </w:r>
      <w:r>
        <w:rPr>
          <w:rFonts w:eastAsia="仿宋_GB2312"/>
          <w:color w:val="000000"/>
          <w:kern w:val="0"/>
          <w:sz w:val="32"/>
          <w:szCs w:val="32"/>
        </w:rPr>
        <w:t>。由于疫情原因，2021</w:t>
      </w:r>
      <w:r>
        <w:rPr>
          <w:rFonts w:hint="eastAsia" w:eastAsia="仿宋_GB2312"/>
          <w:color w:val="000000"/>
          <w:kern w:val="0"/>
          <w:sz w:val="32"/>
          <w:szCs w:val="32"/>
          <w:lang w:eastAsia="zh-Hans"/>
        </w:rPr>
        <w:t>年度</w:t>
      </w:r>
      <w:r>
        <w:rPr>
          <w:rFonts w:eastAsia="仿宋_GB2312"/>
          <w:color w:val="000000"/>
          <w:kern w:val="0"/>
          <w:sz w:val="32"/>
          <w:szCs w:val="32"/>
        </w:rPr>
        <w:t>健康疗休养未开展，512.00万元</w:t>
      </w:r>
      <w:r>
        <w:rPr>
          <w:rFonts w:hint="eastAsia" w:eastAsia="仿宋_GB2312"/>
          <w:color w:val="000000"/>
          <w:kern w:val="0"/>
          <w:sz w:val="32"/>
          <w:szCs w:val="32"/>
        </w:rPr>
        <w:t>预算资金</w:t>
      </w:r>
      <w:r>
        <w:rPr>
          <w:rFonts w:eastAsia="仿宋_GB2312"/>
          <w:color w:val="000000"/>
          <w:kern w:val="0"/>
          <w:sz w:val="32"/>
          <w:szCs w:val="32"/>
        </w:rPr>
        <w:t>退回市总</w:t>
      </w:r>
      <w:r>
        <w:rPr>
          <w:rFonts w:hint="eastAsia" w:eastAsia="仿宋_GB2312"/>
          <w:color w:val="000000"/>
          <w:kern w:val="0"/>
          <w:sz w:val="32"/>
          <w:szCs w:val="32"/>
        </w:rPr>
        <w:t>工会</w:t>
      </w:r>
      <w:r>
        <w:rPr>
          <w:rFonts w:eastAsia="仿宋_GB2312"/>
          <w:color w:val="000000"/>
          <w:kern w:val="0"/>
          <w:sz w:val="32"/>
          <w:szCs w:val="32"/>
        </w:rPr>
        <w:t>财资部统筹使用。</w:t>
      </w:r>
      <w:r>
        <w:rPr>
          <w:rFonts w:eastAsia="仿宋_GB2312"/>
          <w:bCs/>
          <w:sz w:val="32"/>
          <w:szCs w:val="32"/>
        </w:rPr>
        <w:t>结余资金0.13万元</w:t>
      </w:r>
      <w:r>
        <w:rPr>
          <w:rStyle w:val="18"/>
          <w:rFonts w:eastAsia="仿宋_GB2312"/>
          <w:bCs/>
          <w:sz w:val="32"/>
          <w:szCs w:val="32"/>
        </w:rPr>
        <w:footnoteReference w:id="1"/>
      </w:r>
      <w:r>
        <w:rPr>
          <w:rFonts w:eastAsia="仿宋_GB2312"/>
          <w:bCs/>
          <w:sz w:val="32"/>
          <w:szCs w:val="32"/>
        </w:rPr>
        <w:t>由</w:t>
      </w:r>
      <w:r>
        <w:rPr>
          <w:rFonts w:hint="eastAsia" w:eastAsia="仿宋_GB2312"/>
          <w:bCs/>
          <w:sz w:val="32"/>
          <w:szCs w:val="32"/>
        </w:rPr>
        <w:t>北京</w:t>
      </w:r>
      <w:r>
        <w:rPr>
          <w:rFonts w:eastAsia="仿宋_GB2312"/>
          <w:bCs/>
          <w:sz w:val="32"/>
          <w:szCs w:val="32"/>
        </w:rPr>
        <w:t>市财政</w:t>
      </w:r>
      <w:r>
        <w:rPr>
          <w:rFonts w:hint="eastAsia" w:eastAsia="仿宋_GB2312"/>
          <w:bCs/>
          <w:sz w:val="32"/>
          <w:szCs w:val="32"/>
        </w:rPr>
        <w:t>局</w:t>
      </w:r>
      <w:r>
        <w:rPr>
          <w:rFonts w:eastAsia="仿宋_GB2312"/>
          <w:bCs/>
          <w:sz w:val="32"/>
          <w:szCs w:val="32"/>
        </w:rPr>
        <w:t>收回。</w:t>
      </w:r>
    </w:p>
    <w:p>
      <w:pPr>
        <w:spacing w:line="360" w:lineRule="auto"/>
        <w:ind w:firstLine="641" w:firstLineChars="200"/>
        <w:outlineLvl w:val="1"/>
        <w:rPr>
          <w:rFonts w:eastAsia="楷体"/>
          <w:b/>
          <w:sz w:val="32"/>
          <w:szCs w:val="32"/>
        </w:rPr>
      </w:pPr>
      <w:bookmarkStart w:id="6" w:name="_Toc5382"/>
      <w:bookmarkStart w:id="7" w:name="_Toc17703873"/>
      <w:r>
        <w:rPr>
          <w:rFonts w:eastAsia="楷体"/>
          <w:b/>
          <w:sz w:val="32"/>
          <w:szCs w:val="32"/>
        </w:rPr>
        <w:t>（二）项目绩效目标</w:t>
      </w:r>
      <w:bookmarkEnd w:id="6"/>
      <w:bookmarkEnd w:id="7"/>
    </w:p>
    <w:p>
      <w:pPr>
        <w:adjustRightInd w:val="0"/>
        <w:spacing w:line="360" w:lineRule="auto"/>
        <w:ind w:firstLine="640" w:firstLineChars="200"/>
        <w:rPr>
          <w:rFonts w:eastAsia="仿宋_GB2312"/>
          <w:bCs/>
          <w:sz w:val="32"/>
          <w:szCs w:val="32"/>
        </w:rPr>
      </w:pPr>
      <w:r>
        <w:rPr>
          <w:rFonts w:eastAsia="仿宋_GB2312"/>
          <w:bCs/>
          <w:sz w:val="32"/>
          <w:szCs w:val="32"/>
        </w:rPr>
        <w:t>该项目总体目标设定为：</w:t>
      </w:r>
    </w:p>
    <w:p>
      <w:pPr>
        <w:adjustRightInd w:val="0"/>
        <w:spacing w:line="360" w:lineRule="auto"/>
        <w:ind w:firstLine="640" w:firstLineChars="200"/>
        <w:rPr>
          <w:highlight w:val="yellow"/>
        </w:rPr>
      </w:pPr>
      <w:r>
        <w:rPr>
          <w:rFonts w:eastAsia="仿宋_GB2312"/>
          <w:bCs/>
          <w:sz w:val="32"/>
          <w:szCs w:val="32"/>
        </w:rPr>
        <w:t>切实将党和政府对全市劳模关心关爱落实到实处，切实帮助出现生活困难的市级劳模解决实际问题，做到应帮尽帮。建立切实可行的劳模困难帮扶工作机制，通过日常帮扶与节日走访慰问相结合的形式，积极解决劳模现实生活困难，在全社会营造学习劳模、尊重劳模、关爱劳模、崇尚劳模、争当劳模的良好氛围，引导全市职工群众立足本职，爱岗敬业，无私奉献，开拓进取，争创一流</w:t>
      </w:r>
      <w:r>
        <w:rPr>
          <w:rFonts w:hint="eastAsia" w:eastAsia="仿宋_GB2312"/>
          <w:bCs/>
          <w:sz w:val="32"/>
          <w:szCs w:val="32"/>
        </w:rPr>
        <w:t>的精神</w:t>
      </w:r>
      <w:r>
        <w:rPr>
          <w:rFonts w:eastAsia="仿宋_GB2312"/>
          <w:bCs/>
          <w:sz w:val="32"/>
          <w:szCs w:val="32"/>
        </w:rPr>
        <w:t>，为建设社会主义和谐社会做出新的业绩。</w:t>
      </w:r>
    </w:p>
    <w:p>
      <w:pPr>
        <w:adjustRightInd w:val="0"/>
        <w:spacing w:line="360" w:lineRule="auto"/>
        <w:ind w:firstLine="640"/>
        <w:outlineLvl w:val="0"/>
        <w:rPr>
          <w:rFonts w:eastAsia="黑体"/>
          <w:sz w:val="32"/>
          <w:szCs w:val="32"/>
          <w:lang w:eastAsia="zh-Hans"/>
        </w:rPr>
      </w:pPr>
      <w:bookmarkStart w:id="8" w:name="_Toc711276754"/>
      <w:bookmarkStart w:id="9" w:name="_Toc7445"/>
      <w:bookmarkStart w:id="10" w:name="_Toc13666"/>
      <w:r>
        <w:rPr>
          <w:rFonts w:eastAsia="黑体"/>
          <w:sz w:val="32"/>
          <w:szCs w:val="32"/>
          <w:lang w:eastAsia="zh-Hans"/>
        </w:rPr>
        <w:t>二、</w:t>
      </w:r>
      <w:bookmarkStart w:id="11" w:name="_Toc22870"/>
      <w:r>
        <w:rPr>
          <w:rFonts w:eastAsia="黑体"/>
          <w:sz w:val="32"/>
          <w:szCs w:val="32"/>
          <w:lang w:eastAsia="zh-Hans"/>
        </w:rPr>
        <w:t>绩效评价工作开展情况</w:t>
      </w:r>
      <w:bookmarkEnd w:id="8"/>
      <w:bookmarkEnd w:id="9"/>
      <w:bookmarkEnd w:id="10"/>
      <w:bookmarkEnd w:id="11"/>
    </w:p>
    <w:p>
      <w:pPr>
        <w:keepNext w:val="0"/>
        <w:keepLines w:val="0"/>
        <w:pageBreakBefore w:val="0"/>
        <w:widowControl w:val="0"/>
        <w:kinsoku/>
        <w:wordWrap/>
        <w:overflowPunct/>
        <w:topLinePunct w:val="0"/>
        <w:autoSpaceDE/>
        <w:autoSpaceDN/>
        <w:bidi w:val="0"/>
        <w:snapToGrid/>
        <w:spacing w:line="360" w:lineRule="auto"/>
        <w:ind w:left="0" w:leftChars="0" w:right="-313" w:rightChars="-149" w:firstLine="643" w:firstLineChars="200"/>
        <w:jc w:val="both"/>
        <w:textAlignment w:val="auto"/>
        <w:outlineLvl w:val="1"/>
        <w:rPr>
          <w:rFonts w:eastAsia="楷体_GB2312"/>
          <w:b/>
          <w:sz w:val="32"/>
        </w:rPr>
      </w:pPr>
      <w:bookmarkStart w:id="12" w:name="_Toc23203"/>
      <w:bookmarkStart w:id="13" w:name="_Toc11575"/>
      <w:bookmarkStart w:id="14" w:name="_Toc1534425276"/>
      <w:r>
        <w:rPr>
          <w:rFonts w:eastAsia="楷体_GB2312"/>
          <w:b/>
          <w:sz w:val="32"/>
        </w:rPr>
        <w:t>（一）绩效评价目的、对象和范围</w:t>
      </w:r>
      <w:bookmarkEnd w:id="12"/>
      <w:bookmarkEnd w:id="13"/>
      <w:bookmarkEnd w:id="14"/>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640" w:firstLineChars="200"/>
        <w:jc w:val="both"/>
        <w:textAlignment w:val="auto"/>
        <w:rPr>
          <w:rFonts w:eastAsia="仿宋_GB2312"/>
          <w:bCs/>
          <w:sz w:val="32"/>
          <w:szCs w:val="32"/>
        </w:rPr>
      </w:pPr>
      <w:r>
        <w:rPr>
          <w:rFonts w:eastAsia="仿宋_GB2312"/>
          <w:bCs/>
          <w:sz w:val="32"/>
          <w:szCs w:val="32"/>
        </w:rPr>
        <w:t>1.评价目的</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640"/>
        <w:jc w:val="both"/>
        <w:textAlignment w:val="auto"/>
        <w:rPr>
          <w:rFonts w:eastAsia="仿宋_GB2312"/>
          <w:bCs/>
          <w:sz w:val="32"/>
          <w:szCs w:val="32"/>
        </w:rPr>
      </w:pPr>
      <w:r>
        <w:rPr>
          <w:rFonts w:eastAsia="仿宋_GB2312"/>
          <w:bCs/>
          <w:sz w:val="32"/>
          <w:szCs w:val="32"/>
        </w:rPr>
        <w:t>一是加强预算绩效管理，强化支出责任，提高财政资金使用效益；二是进一步总结和分析财政资金支出效果，了解、分析、检验资金使用是否达到预期目标，资金管理是否规范，资金使用是否有效，考核财政支出效率和综合效果；三是通过绩效评价，促进实施部门总结经验、发现问题、改进工作，进一步加强项目管理。</w:t>
      </w:r>
    </w:p>
    <w:p>
      <w:pPr>
        <w:keepNext w:val="0"/>
        <w:keepLines w:val="0"/>
        <w:pageBreakBefore w:val="0"/>
        <w:widowControl w:val="0"/>
        <w:kinsoku/>
        <w:wordWrap/>
        <w:overflowPunct/>
        <w:topLinePunct w:val="0"/>
        <w:autoSpaceDE/>
        <w:autoSpaceDN/>
        <w:bidi w:val="0"/>
        <w:adjustRightInd w:val="0"/>
        <w:snapToGrid/>
        <w:spacing w:line="360" w:lineRule="auto"/>
        <w:ind w:left="0" w:leftChars="0" w:firstLine="640" w:firstLineChars="200"/>
        <w:jc w:val="both"/>
        <w:textAlignment w:val="auto"/>
        <w:rPr>
          <w:rFonts w:eastAsia="仿宋_GB2312"/>
          <w:bCs/>
          <w:sz w:val="32"/>
          <w:szCs w:val="32"/>
        </w:rPr>
      </w:pPr>
      <w:r>
        <w:rPr>
          <w:rFonts w:eastAsia="仿宋_GB2312"/>
          <w:bCs/>
          <w:sz w:val="32"/>
          <w:szCs w:val="32"/>
        </w:rPr>
        <w:t>2.评价对象</w:t>
      </w:r>
    </w:p>
    <w:p>
      <w:pPr>
        <w:spacing w:line="360" w:lineRule="auto"/>
        <w:ind w:firstLine="640"/>
        <w:rPr>
          <w:rFonts w:eastAsia="仿宋_GB2312"/>
          <w:sz w:val="32"/>
          <w:szCs w:val="32"/>
        </w:rPr>
      </w:pPr>
      <w:bookmarkStart w:id="15" w:name="_Toc27151280"/>
      <w:bookmarkStart w:id="16" w:name="_Toc2101980556"/>
      <w:bookmarkStart w:id="17" w:name="_Toc27151395"/>
      <w:r>
        <w:rPr>
          <w:rFonts w:eastAsia="仿宋_GB2312"/>
          <w:sz w:val="32"/>
          <w:szCs w:val="32"/>
        </w:rPr>
        <w:t>市级劳模专项补助资金项目。</w:t>
      </w:r>
      <w:bookmarkEnd w:id="15"/>
      <w:bookmarkEnd w:id="16"/>
      <w:bookmarkEnd w:id="17"/>
    </w:p>
    <w:p>
      <w:pPr>
        <w:adjustRightInd w:val="0"/>
        <w:spacing w:line="360" w:lineRule="auto"/>
        <w:ind w:firstLine="640" w:firstLineChars="200"/>
        <w:rPr>
          <w:rFonts w:eastAsia="仿宋_GB2312"/>
          <w:bCs/>
          <w:sz w:val="32"/>
          <w:szCs w:val="32"/>
        </w:rPr>
      </w:pPr>
      <w:r>
        <w:rPr>
          <w:rFonts w:eastAsia="仿宋_GB2312"/>
          <w:bCs/>
          <w:sz w:val="32"/>
          <w:szCs w:val="32"/>
        </w:rPr>
        <w:t>3.评价范围</w:t>
      </w:r>
    </w:p>
    <w:p>
      <w:pPr>
        <w:adjustRightInd w:val="0"/>
        <w:spacing w:line="360" w:lineRule="auto"/>
        <w:ind w:firstLine="640" w:firstLineChars="200"/>
        <w:rPr>
          <w:rFonts w:eastAsia="仿宋_GB2312"/>
          <w:bCs/>
          <w:sz w:val="32"/>
          <w:szCs w:val="32"/>
        </w:rPr>
      </w:pPr>
      <w:r>
        <w:rPr>
          <w:rFonts w:eastAsia="仿宋_GB2312"/>
          <w:bCs/>
          <w:sz w:val="32"/>
          <w:szCs w:val="32"/>
        </w:rPr>
        <w:t>以</w:t>
      </w:r>
      <w:r>
        <w:rPr>
          <w:rFonts w:eastAsia="仿宋_GB2312"/>
          <w:color w:val="000000"/>
          <w:kern w:val="0"/>
          <w:sz w:val="32"/>
          <w:szCs w:val="32"/>
        </w:rPr>
        <w:t>《</w:t>
      </w:r>
      <w:r>
        <w:rPr>
          <w:rFonts w:hint="eastAsia" w:eastAsia="仿宋_GB2312"/>
          <w:color w:val="000000"/>
          <w:kern w:val="0"/>
          <w:sz w:val="32"/>
          <w:szCs w:val="32"/>
        </w:rPr>
        <w:t>北京市财政局关于开展2022年全面预算绩效管理工作的通知》</w:t>
      </w:r>
      <w:r>
        <w:rPr>
          <w:rFonts w:eastAsia="仿宋_GB2312"/>
          <w:color w:val="000000"/>
          <w:kern w:val="0"/>
          <w:sz w:val="32"/>
          <w:szCs w:val="32"/>
        </w:rPr>
        <w:t>（京财绩效〔2022〕669号）</w:t>
      </w:r>
      <w:r>
        <w:rPr>
          <w:rFonts w:eastAsia="仿宋_GB2312"/>
          <w:bCs/>
          <w:sz w:val="32"/>
          <w:szCs w:val="32"/>
        </w:rPr>
        <w:t>文件明确的要求为准，即实施部门开展的、与市级劳模专项补助资金目标定位相关的工作。</w:t>
      </w:r>
    </w:p>
    <w:p>
      <w:pPr>
        <w:adjustRightInd w:val="0"/>
        <w:spacing w:line="360" w:lineRule="auto"/>
        <w:ind w:firstLine="643"/>
        <w:outlineLvl w:val="1"/>
        <w:rPr>
          <w:rFonts w:eastAsia="楷体_GB2312"/>
          <w:b/>
          <w:sz w:val="32"/>
        </w:rPr>
      </w:pPr>
      <w:bookmarkStart w:id="18" w:name="_Toc1881211542"/>
      <w:bookmarkStart w:id="19" w:name="_Toc14342"/>
      <w:bookmarkStart w:id="20" w:name="_Toc13934"/>
      <w:r>
        <w:rPr>
          <w:rFonts w:eastAsia="楷体_GB2312"/>
          <w:b/>
          <w:sz w:val="32"/>
        </w:rPr>
        <w:t>（二）绩效评价原则、评价指标体系、评价方法和评价标准</w:t>
      </w:r>
      <w:bookmarkEnd w:id="18"/>
      <w:bookmarkEnd w:id="19"/>
      <w:bookmarkEnd w:id="20"/>
    </w:p>
    <w:p>
      <w:pPr>
        <w:adjustRightInd w:val="0"/>
        <w:spacing w:line="360" w:lineRule="auto"/>
        <w:ind w:firstLine="640"/>
        <w:rPr>
          <w:rFonts w:eastAsia="仿宋_GB2312"/>
          <w:bCs/>
          <w:sz w:val="32"/>
          <w:szCs w:val="32"/>
        </w:rPr>
      </w:pPr>
      <w:r>
        <w:rPr>
          <w:rFonts w:eastAsia="仿宋_GB2312"/>
          <w:bCs/>
          <w:sz w:val="32"/>
          <w:szCs w:val="32"/>
        </w:rPr>
        <w:t>1.评价原则</w:t>
      </w:r>
    </w:p>
    <w:p>
      <w:pPr>
        <w:adjustRightInd w:val="0"/>
        <w:spacing w:line="360" w:lineRule="auto"/>
        <w:ind w:firstLine="640"/>
        <w:rPr>
          <w:rFonts w:eastAsia="仿宋_GB2312"/>
          <w:bCs/>
          <w:sz w:val="32"/>
          <w:szCs w:val="32"/>
        </w:rPr>
      </w:pPr>
      <w:r>
        <w:rPr>
          <w:rFonts w:eastAsia="仿宋_GB2312"/>
          <w:bCs/>
          <w:sz w:val="32"/>
          <w:szCs w:val="32"/>
        </w:rPr>
        <w:t>一是客观公正原则。本次绩效评价工作本着实事求是的原则，站在客观、公正的立场发表评价意见。</w:t>
      </w:r>
    </w:p>
    <w:p>
      <w:pPr>
        <w:adjustRightInd w:val="0"/>
        <w:spacing w:line="360" w:lineRule="auto"/>
        <w:ind w:firstLine="640"/>
        <w:rPr>
          <w:rFonts w:eastAsia="仿宋_GB2312"/>
          <w:bCs/>
          <w:sz w:val="32"/>
          <w:szCs w:val="32"/>
        </w:rPr>
      </w:pPr>
      <w:r>
        <w:rPr>
          <w:rFonts w:eastAsia="仿宋_GB2312"/>
          <w:bCs/>
          <w:sz w:val="32"/>
          <w:szCs w:val="32"/>
        </w:rPr>
        <w:t>二是科学规范原则。本次绩效评价严格遵循</w:t>
      </w:r>
      <w:bookmarkStart w:id="21" w:name="_Hlk69739239"/>
      <w:r>
        <w:rPr>
          <w:rFonts w:eastAsia="仿宋_GB2312"/>
          <w:bCs/>
          <w:sz w:val="32"/>
          <w:szCs w:val="32"/>
        </w:rPr>
        <w:t>《北京市项目支出绩效评价管理办法》（京财绩效〔2020〕2146号）</w:t>
      </w:r>
      <w:bookmarkEnd w:id="21"/>
      <w:r>
        <w:rPr>
          <w:rFonts w:eastAsia="仿宋_GB2312"/>
          <w:bCs/>
          <w:sz w:val="32"/>
          <w:szCs w:val="32"/>
        </w:rPr>
        <w:t>及</w:t>
      </w:r>
      <w:bookmarkStart w:id="22" w:name="_Hlk103751245"/>
      <w:r>
        <w:rPr>
          <w:rFonts w:eastAsia="仿宋_GB2312"/>
          <w:color w:val="000000"/>
          <w:kern w:val="0"/>
          <w:sz w:val="32"/>
          <w:szCs w:val="32"/>
        </w:rPr>
        <w:t>《</w:t>
      </w:r>
      <w:r>
        <w:rPr>
          <w:rFonts w:hint="eastAsia" w:eastAsia="仿宋_GB2312"/>
          <w:color w:val="000000"/>
          <w:kern w:val="0"/>
          <w:sz w:val="32"/>
          <w:szCs w:val="32"/>
        </w:rPr>
        <w:t>北京市财政局关于开展2022年全面预算绩效管理工作的通知》</w:t>
      </w:r>
      <w:r>
        <w:rPr>
          <w:rFonts w:eastAsia="仿宋_GB2312"/>
          <w:color w:val="000000"/>
          <w:kern w:val="0"/>
          <w:sz w:val="32"/>
          <w:szCs w:val="32"/>
        </w:rPr>
        <w:t>（京财绩效〔2022〕669号）</w:t>
      </w:r>
      <w:bookmarkEnd w:id="22"/>
      <w:r>
        <w:rPr>
          <w:rFonts w:eastAsia="仿宋_GB2312"/>
          <w:bCs/>
          <w:sz w:val="32"/>
          <w:szCs w:val="32"/>
        </w:rPr>
        <w:t>文件相关规定、要求组织实施。</w:t>
      </w:r>
    </w:p>
    <w:p>
      <w:pPr>
        <w:adjustRightInd w:val="0"/>
        <w:spacing w:line="360" w:lineRule="auto"/>
        <w:ind w:firstLine="640"/>
        <w:rPr>
          <w:rFonts w:eastAsia="仿宋_GB2312"/>
          <w:bCs/>
          <w:sz w:val="32"/>
          <w:szCs w:val="32"/>
        </w:rPr>
      </w:pPr>
      <w:r>
        <w:rPr>
          <w:rFonts w:eastAsia="仿宋_GB2312"/>
          <w:bCs/>
          <w:sz w:val="32"/>
          <w:szCs w:val="32"/>
        </w:rPr>
        <w:t>三是突出绩效原则。重点关注绩效，兼顾决策和管理。</w:t>
      </w:r>
    </w:p>
    <w:p>
      <w:pPr>
        <w:adjustRightInd w:val="0"/>
        <w:spacing w:line="360" w:lineRule="auto"/>
        <w:ind w:firstLine="640"/>
        <w:rPr>
          <w:rFonts w:eastAsia="仿宋_GB2312"/>
          <w:bCs/>
          <w:sz w:val="32"/>
          <w:szCs w:val="32"/>
        </w:rPr>
      </w:pPr>
      <w:r>
        <w:rPr>
          <w:rFonts w:eastAsia="仿宋_GB2312"/>
          <w:bCs/>
          <w:sz w:val="32"/>
          <w:szCs w:val="32"/>
        </w:rPr>
        <w:t>2.评价指标体系</w:t>
      </w:r>
    </w:p>
    <w:p>
      <w:pPr>
        <w:adjustRightInd w:val="0"/>
        <w:spacing w:line="360" w:lineRule="auto"/>
        <w:ind w:firstLine="640"/>
        <w:rPr>
          <w:rFonts w:eastAsia="黑体"/>
          <w:color w:val="000000"/>
          <w:kern w:val="0"/>
          <w:sz w:val="28"/>
          <w:szCs w:val="28"/>
          <w:lang w:bidi="ar"/>
        </w:rPr>
      </w:pPr>
      <w:r>
        <w:rPr>
          <w:rFonts w:eastAsia="仿宋_GB2312"/>
          <w:bCs/>
          <w:sz w:val="32"/>
          <w:szCs w:val="32"/>
        </w:rPr>
        <w:t>评价工作组和专家评价工作组结合该项目特点和预期绩效目标，以资金使用结果为导向，按照</w:t>
      </w:r>
      <w:r>
        <w:rPr>
          <w:rFonts w:hint="eastAsia" w:eastAsia="仿宋_GB2312"/>
          <w:bCs/>
          <w:sz w:val="32"/>
          <w:szCs w:val="32"/>
        </w:rPr>
        <w:t>“</w:t>
      </w:r>
      <w:r>
        <w:rPr>
          <w:rFonts w:eastAsia="仿宋_GB2312"/>
          <w:bCs/>
          <w:sz w:val="32"/>
          <w:szCs w:val="32"/>
        </w:rPr>
        <w:t>相关性、重要性、可比性、系统性</w:t>
      </w:r>
      <w:r>
        <w:rPr>
          <w:rFonts w:hint="eastAsia" w:eastAsia="仿宋_GB2312"/>
          <w:bCs/>
          <w:sz w:val="32"/>
          <w:szCs w:val="32"/>
        </w:rPr>
        <w:t>”</w:t>
      </w:r>
      <w:r>
        <w:rPr>
          <w:rFonts w:eastAsia="仿宋_GB2312"/>
          <w:bCs/>
          <w:sz w:val="32"/>
          <w:szCs w:val="32"/>
        </w:rPr>
        <w:t>原则，明确评价标准，按照《北京市项目支出绩效评价管理办法》（京财绩效〔2020〕2146号）文件，确定了该项目绩效评价指标体系，其中一级指标4个，二级指标10个，三级指标17个，四级指标25个</w:t>
      </w:r>
      <w:r>
        <w:rPr>
          <w:rFonts w:hint="eastAsia" w:eastAsia="仿宋_GB2312"/>
          <w:bCs/>
          <w:sz w:val="32"/>
          <w:szCs w:val="32"/>
        </w:rPr>
        <w:t>，</w:t>
      </w:r>
      <w:r>
        <w:rPr>
          <w:rFonts w:hint="eastAsia" w:eastAsia="仿宋_GB2312"/>
          <w:bCs/>
          <w:sz w:val="32"/>
          <w:szCs w:val="32"/>
          <w:lang w:eastAsia="zh-Hans"/>
        </w:rPr>
        <w:t>其中</w:t>
      </w:r>
      <w:r>
        <w:rPr>
          <w:rFonts w:hint="eastAsia" w:eastAsia="仿宋_GB2312"/>
          <w:bCs/>
          <w:sz w:val="32"/>
          <w:szCs w:val="32"/>
        </w:rPr>
        <w:t>定性指标</w:t>
      </w:r>
      <w:r>
        <w:rPr>
          <w:rFonts w:eastAsia="仿宋_GB2312"/>
          <w:bCs/>
          <w:sz w:val="32"/>
          <w:szCs w:val="32"/>
        </w:rPr>
        <w:t>23</w:t>
      </w:r>
      <w:r>
        <w:rPr>
          <w:rFonts w:hint="eastAsia" w:eastAsia="仿宋_GB2312"/>
          <w:bCs/>
          <w:sz w:val="32"/>
          <w:szCs w:val="32"/>
        </w:rPr>
        <w:t>个，定量指标</w:t>
      </w:r>
      <w:r>
        <w:rPr>
          <w:rFonts w:eastAsia="仿宋_GB2312"/>
          <w:bCs/>
          <w:sz w:val="32"/>
          <w:szCs w:val="32"/>
        </w:rPr>
        <w:t>4</w:t>
      </w:r>
      <w:r>
        <w:rPr>
          <w:rFonts w:hint="eastAsia" w:eastAsia="仿宋_GB2312"/>
          <w:bCs/>
          <w:sz w:val="32"/>
          <w:szCs w:val="32"/>
        </w:rPr>
        <w:t>个</w:t>
      </w:r>
      <w:r>
        <w:rPr>
          <w:rFonts w:eastAsia="仿宋_GB2312"/>
          <w:bCs/>
          <w:sz w:val="32"/>
          <w:szCs w:val="32"/>
        </w:rPr>
        <w:t>。评价指标体系框架详见</w:t>
      </w:r>
      <w:r>
        <w:rPr>
          <w:rFonts w:hint="eastAsia" w:eastAsia="仿宋_GB2312"/>
          <w:bCs/>
          <w:sz w:val="32"/>
          <w:szCs w:val="32"/>
          <w:lang w:eastAsia="zh-Hans"/>
        </w:rPr>
        <w:t>附件</w:t>
      </w:r>
      <w:r>
        <w:rPr>
          <w:rFonts w:eastAsia="仿宋_GB2312"/>
          <w:bCs/>
          <w:sz w:val="32"/>
          <w:szCs w:val="32"/>
          <w:lang w:eastAsia="zh-Hans"/>
        </w:rPr>
        <w:t>4</w:t>
      </w:r>
      <w:r>
        <w:rPr>
          <w:rFonts w:eastAsia="仿宋_GB2312"/>
          <w:bCs/>
          <w:sz w:val="32"/>
          <w:szCs w:val="32"/>
        </w:rPr>
        <w:t>。</w:t>
      </w:r>
      <w:bookmarkStart w:id="23" w:name="_Toc18475"/>
      <w:bookmarkEnd w:id="23"/>
    </w:p>
    <w:p>
      <w:pPr>
        <w:adjustRightInd w:val="0"/>
        <w:spacing w:before="120" w:beforeLines="50" w:line="360" w:lineRule="auto"/>
        <w:ind w:firstLine="640"/>
        <w:rPr>
          <w:rFonts w:eastAsia="仿宋_GB2312"/>
          <w:bCs/>
          <w:sz w:val="32"/>
          <w:szCs w:val="32"/>
        </w:rPr>
      </w:pPr>
      <w:r>
        <w:rPr>
          <w:rFonts w:eastAsia="仿宋_GB2312"/>
          <w:bCs/>
          <w:sz w:val="32"/>
          <w:szCs w:val="32"/>
        </w:rPr>
        <w:t>3.评价方法</w:t>
      </w:r>
    </w:p>
    <w:p>
      <w:pPr>
        <w:adjustRightInd w:val="0"/>
        <w:spacing w:line="360" w:lineRule="auto"/>
        <w:ind w:firstLine="640"/>
        <w:rPr>
          <w:rFonts w:eastAsia="仿宋_GB2312"/>
          <w:bCs/>
          <w:sz w:val="32"/>
          <w:szCs w:val="32"/>
        </w:rPr>
      </w:pPr>
      <w:r>
        <w:rPr>
          <w:rFonts w:eastAsia="仿宋_GB2312"/>
          <w:bCs/>
          <w:sz w:val="32"/>
          <w:szCs w:val="32"/>
        </w:rPr>
        <w:t>根据《北京市项目支出绩效评价管理办法》（京财绩效〔2020〕2146号）文件规定的绩效评价方法，结合项目实际情况，本次绩效评价工作以</w:t>
      </w:r>
      <w:r>
        <w:rPr>
          <w:rFonts w:hint="eastAsia" w:eastAsia="仿宋_GB2312"/>
          <w:bCs/>
          <w:sz w:val="32"/>
          <w:szCs w:val="32"/>
        </w:rPr>
        <w:t>专家评价</w:t>
      </w:r>
      <w:r>
        <w:rPr>
          <w:rFonts w:eastAsia="仿宋_GB2312"/>
          <w:bCs/>
          <w:sz w:val="32"/>
          <w:szCs w:val="32"/>
        </w:rPr>
        <w:t>法为主，按照全面评价与重点评价相结合、现场评价与非现场评价相结合的方式组织实施。</w:t>
      </w:r>
    </w:p>
    <w:p>
      <w:pPr>
        <w:adjustRightInd w:val="0"/>
        <w:spacing w:line="360" w:lineRule="auto"/>
        <w:ind w:firstLine="640"/>
        <w:rPr>
          <w:rFonts w:eastAsia="仿宋_GB2312"/>
          <w:bCs/>
          <w:sz w:val="32"/>
          <w:szCs w:val="32"/>
        </w:rPr>
      </w:pPr>
      <w:r>
        <w:rPr>
          <w:rFonts w:eastAsia="仿宋_GB2312"/>
          <w:bCs/>
          <w:sz w:val="32"/>
          <w:szCs w:val="32"/>
        </w:rPr>
        <w:t>4.评价标准</w:t>
      </w:r>
    </w:p>
    <w:p>
      <w:pPr>
        <w:adjustRightInd w:val="0"/>
        <w:spacing w:line="360" w:lineRule="auto"/>
        <w:ind w:firstLine="640"/>
        <w:rPr>
          <w:rFonts w:eastAsia="楷体_GB2312"/>
          <w:b/>
          <w:sz w:val="32"/>
        </w:rPr>
      </w:pPr>
      <w:r>
        <w:rPr>
          <w:rFonts w:eastAsia="仿宋_GB2312"/>
          <w:bCs/>
          <w:sz w:val="32"/>
          <w:szCs w:val="32"/>
        </w:rPr>
        <w:t>根据《北京市项目支出绩效评价管理办法》（京财绩效〔2020〕2146号）文件规定的绩效评价标准，结合项目实际情况，本次绩效评价工作采用计划标准，以预先制定的目标、计划、预算、定额作为本次绩效评价的标准。</w:t>
      </w:r>
      <w:bookmarkStart w:id="24" w:name="_Toc25057"/>
      <w:bookmarkStart w:id="25" w:name="_Toc5714"/>
      <w:bookmarkStart w:id="26" w:name="_Toc120651613"/>
      <w:bookmarkStart w:id="27" w:name="_Toc3498"/>
    </w:p>
    <w:p>
      <w:pPr>
        <w:adjustRightInd w:val="0"/>
        <w:spacing w:line="360" w:lineRule="auto"/>
        <w:ind w:firstLine="643"/>
        <w:outlineLvl w:val="1"/>
        <w:rPr>
          <w:rFonts w:eastAsia="楷体_GB2312"/>
          <w:b/>
          <w:sz w:val="32"/>
        </w:rPr>
      </w:pPr>
      <w:r>
        <w:rPr>
          <w:rFonts w:eastAsia="楷体_GB2312"/>
          <w:b/>
          <w:sz w:val="32"/>
        </w:rPr>
        <w:t>（三）</w:t>
      </w:r>
      <w:bookmarkEnd w:id="24"/>
      <w:r>
        <w:rPr>
          <w:rFonts w:eastAsia="楷体_GB2312"/>
          <w:b/>
          <w:sz w:val="32"/>
        </w:rPr>
        <w:t>绩效评价工作过程</w:t>
      </w:r>
      <w:bookmarkEnd w:id="25"/>
      <w:bookmarkEnd w:id="26"/>
      <w:bookmarkEnd w:id="27"/>
    </w:p>
    <w:p>
      <w:pPr>
        <w:adjustRightInd w:val="0"/>
        <w:spacing w:line="360" w:lineRule="auto"/>
        <w:ind w:firstLine="640"/>
        <w:rPr>
          <w:rFonts w:eastAsia="仿宋_GB2312"/>
          <w:bCs/>
          <w:sz w:val="32"/>
          <w:szCs w:val="32"/>
        </w:rPr>
      </w:pPr>
      <w:r>
        <w:rPr>
          <w:rFonts w:eastAsia="仿宋_GB2312"/>
          <w:bCs/>
          <w:sz w:val="32"/>
          <w:szCs w:val="32"/>
        </w:rPr>
        <w:t>为确保绩效评价工作的客观公正，评价工作组严格按照绩效评价工作程序组织该项目的绩效评价工作。评价工作程序主要分为评价准备、评价实施、评价总结三个阶段。主要程序如下：</w:t>
      </w:r>
    </w:p>
    <w:p>
      <w:pPr>
        <w:adjustRightInd w:val="0"/>
        <w:spacing w:line="360" w:lineRule="auto"/>
        <w:ind w:firstLine="640"/>
        <w:rPr>
          <w:rFonts w:eastAsia="仿宋_GB2312"/>
          <w:bCs/>
          <w:sz w:val="32"/>
          <w:szCs w:val="32"/>
        </w:rPr>
      </w:pPr>
      <w:r>
        <w:rPr>
          <w:rFonts w:eastAsia="仿宋_GB2312"/>
          <w:bCs/>
          <w:sz w:val="32"/>
          <w:szCs w:val="32"/>
        </w:rPr>
        <w:t>1.评价准备阶段</w:t>
      </w:r>
    </w:p>
    <w:p>
      <w:pPr>
        <w:adjustRightInd w:val="0"/>
        <w:spacing w:line="360" w:lineRule="auto"/>
        <w:ind w:firstLine="640"/>
        <w:rPr>
          <w:rFonts w:eastAsia="仿宋_GB2312"/>
          <w:bCs/>
          <w:sz w:val="32"/>
          <w:szCs w:val="32"/>
        </w:rPr>
      </w:pPr>
      <w:r>
        <w:rPr>
          <w:rFonts w:eastAsia="仿宋_GB2312"/>
          <w:bCs/>
          <w:sz w:val="32"/>
          <w:szCs w:val="32"/>
        </w:rPr>
        <w:t>（1）组建评价工作组。按照</w:t>
      </w:r>
      <w:r>
        <w:rPr>
          <w:rFonts w:hint="eastAsia" w:eastAsia="仿宋_GB2312"/>
          <w:bCs/>
          <w:sz w:val="32"/>
          <w:szCs w:val="32"/>
        </w:rPr>
        <w:t>《北京市财政局关于开展2022年全面预算绩效管理工作的通知》（京财绩效〔2022〕669号）</w:t>
      </w:r>
      <w:r>
        <w:rPr>
          <w:rFonts w:eastAsia="仿宋_GB2312"/>
          <w:bCs/>
          <w:sz w:val="32"/>
          <w:szCs w:val="32"/>
        </w:rPr>
        <w:t>文件要求部署全面自评，抽取部门履职的重大事业发展项目开展重点评价，组成评价领导小组，各项目实施部门负责人为成员，明确每名成员的职责及分工，并邀请专业机构进行必要的针对性指导和业务培训。</w:t>
      </w:r>
    </w:p>
    <w:p>
      <w:pPr>
        <w:adjustRightInd w:val="0"/>
        <w:spacing w:line="360" w:lineRule="auto"/>
        <w:ind w:firstLine="640"/>
        <w:rPr>
          <w:rFonts w:eastAsia="仿宋_GB2312"/>
          <w:color w:val="000000"/>
          <w:kern w:val="0"/>
          <w:sz w:val="32"/>
          <w:szCs w:val="32"/>
        </w:rPr>
      </w:pPr>
      <w:r>
        <w:rPr>
          <w:rFonts w:eastAsia="仿宋_GB2312"/>
          <w:bCs/>
          <w:sz w:val="32"/>
          <w:szCs w:val="32"/>
        </w:rPr>
        <w:t>（2）遴选专家，组建专家评价工作组。依据客观、公正的原则</w:t>
      </w:r>
      <w:r>
        <w:rPr>
          <w:rFonts w:eastAsia="仿宋_GB2312"/>
          <w:color w:val="000000"/>
          <w:kern w:val="0"/>
          <w:sz w:val="32"/>
          <w:szCs w:val="32"/>
        </w:rPr>
        <w:t>，结合项目特点，遴选2名管理专家、1名财务专家和2名业务专家，组建专家评价工作组，并做好专家培训工作。</w:t>
      </w:r>
    </w:p>
    <w:p>
      <w:pPr>
        <w:adjustRightInd w:val="0"/>
        <w:spacing w:line="360" w:lineRule="auto"/>
        <w:ind w:firstLine="640"/>
        <w:rPr>
          <w:rFonts w:eastAsia="仿宋_GB2312"/>
          <w:bCs/>
          <w:sz w:val="32"/>
          <w:szCs w:val="32"/>
        </w:rPr>
      </w:pPr>
      <w:r>
        <w:rPr>
          <w:rFonts w:eastAsia="仿宋_GB2312"/>
          <w:color w:val="000000"/>
          <w:kern w:val="0"/>
          <w:sz w:val="32"/>
          <w:szCs w:val="32"/>
        </w:rPr>
        <w:t>（3）</w:t>
      </w:r>
      <w:r>
        <w:rPr>
          <w:rFonts w:eastAsia="仿宋_GB2312"/>
          <w:bCs/>
          <w:sz w:val="32"/>
          <w:szCs w:val="32"/>
        </w:rPr>
        <w:t>制定绩效评价工作方案。确定评价重点、评价方法、评价指标体系框架和评分方法、评价进度等事项。</w:t>
      </w:r>
    </w:p>
    <w:p>
      <w:pPr>
        <w:adjustRightInd w:val="0"/>
        <w:spacing w:line="360" w:lineRule="auto"/>
        <w:ind w:firstLine="640"/>
        <w:rPr>
          <w:rFonts w:eastAsia="仿宋_GB2312"/>
          <w:bCs/>
          <w:sz w:val="32"/>
          <w:szCs w:val="32"/>
        </w:rPr>
      </w:pPr>
      <w:r>
        <w:rPr>
          <w:rFonts w:eastAsia="仿宋_GB2312"/>
          <w:bCs/>
          <w:sz w:val="32"/>
          <w:szCs w:val="32"/>
        </w:rPr>
        <w:t>2.评价实施阶段</w:t>
      </w:r>
    </w:p>
    <w:p>
      <w:pPr>
        <w:adjustRightInd w:val="0"/>
        <w:spacing w:line="360" w:lineRule="auto"/>
        <w:ind w:firstLine="640"/>
        <w:rPr>
          <w:rFonts w:eastAsia="仿宋_GB2312"/>
          <w:bCs/>
          <w:sz w:val="32"/>
          <w:szCs w:val="32"/>
        </w:rPr>
      </w:pPr>
      <w:r>
        <w:rPr>
          <w:rFonts w:eastAsia="仿宋_GB2312"/>
          <w:bCs/>
          <w:sz w:val="32"/>
          <w:szCs w:val="32"/>
        </w:rPr>
        <w:t>（1）绩效评价资料准备。评价工作组于2022年4月24日召开动员会，选取确定重点评价项目，邀请专业机构进行绩效评价资料准备辅导工作，明确每个项目实施部门的任务及需要的资料，充分沟通评价依据、工作任务、日程安排等事项，向项目实施部门讲解评价原则、程序及具体要求，并辅导各项目实施部门负责人准备资料，撰写绩效报告。</w:t>
      </w:r>
    </w:p>
    <w:p>
      <w:pPr>
        <w:adjustRightInd w:val="0"/>
        <w:spacing w:line="360" w:lineRule="auto"/>
        <w:ind w:firstLine="640"/>
        <w:rPr>
          <w:rFonts w:eastAsia="仿宋_GB2312"/>
          <w:bCs/>
          <w:sz w:val="32"/>
          <w:szCs w:val="32"/>
        </w:rPr>
      </w:pPr>
      <w:r>
        <w:rPr>
          <w:rFonts w:eastAsia="仿宋_GB2312"/>
          <w:bCs/>
          <w:sz w:val="32"/>
          <w:szCs w:val="32"/>
        </w:rPr>
        <w:t>（2）收集、复核资料。评价工作组按照</w:t>
      </w:r>
      <w:r>
        <w:rPr>
          <w:rFonts w:hint="eastAsia" w:eastAsia="仿宋_GB2312"/>
          <w:bCs/>
          <w:sz w:val="32"/>
          <w:szCs w:val="32"/>
        </w:rPr>
        <w:t>“</w:t>
      </w:r>
      <w:r>
        <w:rPr>
          <w:rFonts w:eastAsia="仿宋_GB2312"/>
          <w:bCs/>
          <w:sz w:val="32"/>
          <w:szCs w:val="32"/>
        </w:rPr>
        <w:t>项目支出绩效评价资料准备清单</w:t>
      </w:r>
      <w:r>
        <w:rPr>
          <w:rFonts w:hint="eastAsia" w:eastAsia="仿宋_GB2312"/>
          <w:bCs/>
          <w:sz w:val="32"/>
          <w:szCs w:val="32"/>
        </w:rPr>
        <w:t>”</w:t>
      </w:r>
      <w:r>
        <w:rPr>
          <w:rFonts w:eastAsia="仿宋_GB2312"/>
          <w:bCs/>
          <w:sz w:val="32"/>
          <w:szCs w:val="32"/>
        </w:rPr>
        <w:t>，收集与项目支出绩效评价相关的决策、管理、绩效相关资料，复核其完整性、准确性、有效性。</w:t>
      </w:r>
    </w:p>
    <w:p>
      <w:pPr>
        <w:adjustRightInd w:val="0"/>
        <w:spacing w:line="360" w:lineRule="auto"/>
        <w:ind w:firstLine="640"/>
        <w:rPr>
          <w:rFonts w:eastAsia="仿宋_GB2312"/>
          <w:bCs/>
          <w:sz w:val="32"/>
          <w:szCs w:val="32"/>
        </w:rPr>
      </w:pPr>
      <w:r>
        <w:rPr>
          <w:rFonts w:eastAsia="仿宋_GB2312"/>
          <w:bCs/>
          <w:sz w:val="32"/>
          <w:szCs w:val="32"/>
        </w:rPr>
        <w:t>（3）编制专家资料手册。评价工作组围绕指标体系内容和评价重点，对资料进行归集、整理、分析，编制专家资料手册，提供给专家审阅评议。</w:t>
      </w:r>
    </w:p>
    <w:p>
      <w:pPr>
        <w:adjustRightInd w:val="0"/>
        <w:spacing w:line="360" w:lineRule="auto"/>
        <w:ind w:firstLine="640"/>
        <w:rPr>
          <w:rFonts w:eastAsia="仿宋_GB2312"/>
          <w:bCs/>
          <w:sz w:val="32"/>
          <w:szCs w:val="32"/>
        </w:rPr>
      </w:pPr>
      <w:r>
        <w:rPr>
          <w:rFonts w:eastAsia="仿宋_GB2312"/>
          <w:color w:val="000000"/>
          <w:kern w:val="0"/>
          <w:sz w:val="32"/>
          <w:szCs w:val="32"/>
        </w:rPr>
        <w:t>（4）召开专家评价会，形成评价结论。</w:t>
      </w:r>
      <w:r>
        <w:rPr>
          <w:rFonts w:hint="eastAsia" w:eastAsia="仿宋_GB2312"/>
          <w:color w:val="000000"/>
          <w:kern w:val="0"/>
          <w:sz w:val="32"/>
          <w:szCs w:val="32"/>
        </w:rPr>
        <w:t>根据疫情防控要求，</w:t>
      </w:r>
      <w:r>
        <w:rPr>
          <w:rFonts w:eastAsia="仿宋_GB2312"/>
          <w:color w:val="000000"/>
          <w:kern w:val="0"/>
          <w:sz w:val="32"/>
          <w:szCs w:val="32"/>
        </w:rPr>
        <w:t>评价工作组于2022年5月12日组织专家召开了专家正式</w:t>
      </w:r>
      <w:r>
        <w:rPr>
          <w:rFonts w:eastAsia="仿宋_GB2312"/>
          <w:bCs/>
          <w:sz w:val="32"/>
          <w:szCs w:val="32"/>
        </w:rPr>
        <w:t>会</w:t>
      </w:r>
      <w:r>
        <w:rPr>
          <w:rFonts w:hint="eastAsia" w:eastAsia="仿宋_GB2312"/>
          <w:bCs/>
          <w:sz w:val="32"/>
          <w:szCs w:val="32"/>
        </w:rPr>
        <w:t>（腾讯会议方式）</w:t>
      </w:r>
      <w:r>
        <w:rPr>
          <w:rFonts w:eastAsia="仿宋_GB2312"/>
          <w:bCs/>
          <w:sz w:val="32"/>
          <w:szCs w:val="32"/>
        </w:rPr>
        <w:t>，专家组在审阅项目资料的基础上，依据项目执行情况和绩效评价指标体系，对该项目的决策、管理和绩效等方面进行评价和打分，出具个人评价意见；最终由专家评价工作组讨论形成项目支出绩效评价结论、意见和建议。</w:t>
      </w:r>
    </w:p>
    <w:p>
      <w:pPr>
        <w:adjustRightInd w:val="0"/>
        <w:spacing w:line="360" w:lineRule="auto"/>
        <w:ind w:firstLine="640"/>
        <w:rPr>
          <w:rFonts w:eastAsia="仿宋_GB2312"/>
          <w:bCs/>
          <w:sz w:val="32"/>
          <w:szCs w:val="32"/>
        </w:rPr>
      </w:pPr>
      <w:r>
        <w:rPr>
          <w:rFonts w:eastAsia="仿宋_GB2312"/>
          <w:bCs/>
          <w:sz w:val="32"/>
          <w:szCs w:val="32"/>
        </w:rPr>
        <w:t>3.评价总结阶段</w:t>
      </w:r>
    </w:p>
    <w:p>
      <w:pPr>
        <w:adjustRightInd w:val="0"/>
        <w:spacing w:line="360" w:lineRule="auto"/>
        <w:ind w:firstLine="640"/>
        <w:rPr>
          <w:rFonts w:eastAsia="仿宋_GB2312"/>
          <w:bCs/>
          <w:sz w:val="32"/>
          <w:szCs w:val="32"/>
        </w:rPr>
      </w:pPr>
      <w:r>
        <w:rPr>
          <w:rFonts w:eastAsia="仿宋_GB2312"/>
          <w:bCs/>
          <w:sz w:val="32"/>
          <w:szCs w:val="32"/>
        </w:rPr>
        <w:t>（1）撰写绩效评价报告。评价工作组在专家评价会结束后，汇总专家打分，确定绩效评价级</w:t>
      </w:r>
      <w:r>
        <w:rPr>
          <w:rFonts w:eastAsia="仿宋_GB2312"/>
          <w:color w:val="000000"/>
          <w:kern w:val="0"/>
          <w:sz w:val="32"/>
          <w:szCs w:val="32"/>
        </w:rPr>
        <w:t>别。结合专家评价意见，撰写并</w:t>
      </w:r>
      <w:r>
        <w:rPr>
          <w:rFonts w:eastAsia="仿宋_GB2312"/>
          <w:bCs/>
          <w:sz w:val="32"/>
          <w:szCs w:val="32"/>
        </w:rPr>
        <w:t>形成正式绩效评价报告。</w:t>
      </w:r>
    </w:p>
    <w:p>
      <w:pPr>
        <w:adjustRightInd w:val="0"/>
        <w:spacing w:line="360" w:lineRule="auto"/>
        <w:ind w:firstLine="640"/>
        <w:rPr>
          <w:rFonts w:eastAsia="仿宋_GB2312"/>
          <w:bCs/>
          <w:sz w:val="32"/>
          <w:szCs w:val="32"/>
        </w:rPr>
      </w:pPr>
      <w:r>
        <w:rPr>
          <w:rFonts w:eastAsia="仿宋_GB2312"/>
          <w:bCs/>
          <w:sz w:val="32"/>
          <w:szCs w:val="32"/>
        </w:rPr>
        <w:t>（2）绩效评价资料归档。绩效评价工作结束后，及时将资料整理归档。</w:t>
      </w:r>
    </w:p>
    <w:p>
      <w:pPr>
        <w:adjustRightInd w:val="0"/>
        <w:spacing w:line="360" w:lineRule="auto"/>
        <w:ind w:firstLine="640"/>
        <w:outlineLvl w:val="0"/>
        <w:rPr>
          <w:rFonts w:eastAsia="黑体"/>
          <w:sz w:val="32"/>
          <w:szCs w:val="32"/>
          <w:lang w:eastAsia="zh-Hans"/>
        </w:rPr>
      </w:pPr>
      <w:bookmarkStart w:id="28" w:name="_Toc29573"/>
      <w:bookmarkStart w:id="29" w:name="_Toc23291"/>
      <w:bookmarkStart w:id="30" w:name="_Toc17703878"/>
      <w:r>
        <w:rPr>
          <w:rFonts w:eastAsia="黑体"/>
          <w:sz w:val="32"/>
          <w:szCs w:val="32"/>
          <w:lang w:eastAsia="zh-Hans"/>
        </w:rPr>
        <w:t>三、综合评价情况及评价结论</w:t>
      </w:r>
      <w:bookmarkEnd w:id="28"/>
      <w:bookmarkEnd w:id="29"/>
    </w:p>
    <w:p>
      <w:pPr>
        <w:adjustRightInd w:val="0"/>
        <w:spacing w:line="360" w:lineRule="auto"/>
        <w:ind w:firstLine="640"/>
        <w:rPr>
          <w:rFonts w:eastAsia="仿宋_GB2312"/>
          <w:bCs/>
          <w:sz w:val="32"/>
          <w:szCs w:val="32"/>
        </w:rPr>
      </w:pPr>
      <w:bookmarkStart w:id="31" w:name="_Toc665559475"/>
      <w:r>
        <w:rPr>
          <w:rFonts w:eastAsia="仿宋_GB2312"/>
          <w:bCs/>
          <w:sz w:val="32"/>
          <w:szCs w:val="32"/>
        </w:rPr>
        <w:t>专家按绩效评价指标体系独立进行定量评分，并出具评价意见。该项目得分</w:t>
      </w:r>
      <w:r>
        <w:rPr>
          <w:rFonts w:hint="eastAsia" w:eastAsia="仿宋_GB2312"/>
          <w:bCs/>
          <w:sz w:val="32"/>
          <w:szCs w:val="32"/>
        </w:rPr>
        <w:t>8</w:t>
      </w:r>
      <w:r>
        <w:rPr>
          <w:rFonts w:eastAsia="仿宋_GB2312"/>
          <w:bCs/>
          <w:sz w:val="32"/>
          <w:szCs w:val="32"/>
        </w:rPr>
        <w:t>2.48分，其中，项目决策得分8.14分，项目过程得分17.44分，项目产出得分32.60分，项目效益得分24.30分，经专家评价工作组综合分析评价，2021年劳模工作部“市级劳模专项补助资金”项目，绩效评定级别为“良”。</w:t>
      </w:r>
      <w:bookmarkEnd w:id="31"/>
      <w:r>
        <w:rPr>
          <w:rFonts w:eastAsia="仿宋_GB2312"/>
          <w:bCs/>
          <w:sz w:val="32"/>
          <w:szCs w:val="32"/>
        </w:rPr>
        <w:t>具体情况详见表3。</w:t>
      </w:r>
    </w:p>
    <w:p>
      <w:pPr>
        <w:pStyle w:val="8"/>
        <w:spacing w:after="0" w:line="360" w:lineRule="auto"/>
        <w:ind w:left="0" w:leftChars="0"/>
        <w:jc w:val="center"/>
        <w:rPr>
          <w:rFonts w:eastAsia="黑体"/>
          <w:bCs/>
          <w:sz w:val="28"/>
          <w:szCs w:val="28"/>
        </w:rPr>
      </w:pPr>
      <w:r>
        <w:rPr>
          <w:rFonts w:eastAsia="黑体"/>
          <w:bCs/>
          <w:sz w:val="28"/>
          <w:szCs w:val="28"/>
        </w:rPr>
        <w:t>表</w:t>
      </w:r>
      <w:r>
        <w:rPr>
          <w:rFonts w:hint="eastAsia" w:ascii="黑体" w:hAnsi="黑体" w:eastAsia="黑体" w:cs="黑体"/>
          <w:bCs/>
          <w:sz w:val="28"/>
          <w:szCs w:val="28"/>
        </w:rPr>
        <w:t>3</w:t>
      </w:r>
      <w:r>
        <w:rPr>
          <w:rFonts w:hint="eastAsia" w:eastAsia="黑体"/>
          <w:bCs/>
          <w:sz w:val="28"/>
          <w:szCs w:val="28"/>
        </w:rPr>
        <w:t>“</w:t>
      </w:r>
      <w:r>
        <w:rPr>
          <w:rFonts w:eastAsia="黑体"/>
          <w:bCs/>
          <w:sz w:val="28"/>
          <w:szCs w:val="28"/>
        </w:rPr>
        <w:t>市级劳模专项补助资金</w:t>
      </w:r>
      <w:r>
        <w:rPr>
          <w:rFonts w:hint="eastAsia" w:eastAsia="黑体"/>
          <w:bCs/>
          <w:sz w:val="28"/>
          <w:szCs w:val="28"/>
        </w:rPr>
        <w:t>”</w:t>
      </w:r>
      <w:r>
        <w:rPr>
          <w:rFonts w:eastAsia="黑体"/>
          <w:bCs/>
          <w:sz w:val="28"/>
          <w:szCs w:val="28"/>
        </w:rPr>
        <w:t>项目绩效评价结论一览表</w:t>
      </w:r>
    </w:p>
    <w:tbl>
      <w:tblPr>
        <w:tblStyle w:val="19"/>
        <w:tblW w:w="8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250"/>
        <w:gridCol w:w="3240"/>
        <w:gridCol w:w="2995"/>
      </w:tblGrid>
      <w:tr>
        <w:trPr>
          <w:cantSplit/>
          <w:trHeight w:val="454" w:hRule="atLeast"/>
          <w:tblHeader/>
        </w:trPr>
        <w:tc>
          <w:tcPr>
            <w:tcW w:w="2250" w:type="dxa"/>
            <w:shd w:val="clear" w:color="auto" w:fill="BEBEBE"/>
            <w:vAlign w:val="center"/>
          </w:tcPr>
          <w:p>
            <w:pPr>
              <w:adjustRightInd w:val="0"/>
              <w:snapToGrid w:val="0"/>
              <w:jc w:val="center"/>
              <w:rPr>
                <w:b/>
                <w:szCs w:val="24"/>
              </w:rPr>
            </w:pPr>
            <w:r>
              <w:rPr>
                <w:b/>
                <w:szCs w:val="24"/>
              </w:rPr>
              <w:t>评价内容</w:t>
            </w:r>
          </w:p>
        </w:tc>
        <w:tc>
          <w:tcPr>
            <w:tcW w:w="3240" w:type="dxa"/>
            <w:shd w:val="clear" w:color="auto" w:fill="BEBEBE"/>
            <w:vAlign w:val="center"/>
          </w:tcPr>
          <w:p>
            <w:pPr>
              <w:adjustRightInd w:val="0"/>
              <w:snapToGrid w:val="0"/>
              <w:jc w:val="center"/>
              <w:rPr>
                <w:b/>
                <w:szCs w:val="24"/>
              </w:rPr>
            </w:pPr>
            <w:r>
              <w:rPr>
                <w:b/>
                <w:szCs w:val="24"/>
              </w:rPr>
              <w:t>分值</w:t>
            </w:r>
          </w:p>
        </w:tc>
        <w:tc>
          <w:tcPr>
            <w:tcW w:w="2995" w:type="dxa"/>
            <w:shd w:val="clear" w:color="auto" w:fill="BEBEBE"/>
            <w:vAlign w:val="center"/>
          </w:tcPr>
          <w:p>
            <w:pPr>
              <w:adjustRightInd w:val="0"/>
              <w:snapToGrid w:val="0"/>
              <w:jc w:val="center"/>
              <w:rPr>
                <w:b/>
                <w:szCs w:val="24"/>
              </w:rPr>
            </w:pPr>
            <w:r>
              <w:rPr>
                <w:b/>
                <w:szCs w:val="24"/>
              </w:rPr>
              <w:t>评价得分</w:t>
            </w:r>
          </w:p>
        </w:tc>
      </w:tr>
      <w:tr>
        <w:trPr>
          <w:cantSplit/>
          <w:trHeight w:val="454" w:hRule="atLeast"/>
        </w:trPr>
        <w:tc>
          <w:tcPr>
            <w:tcW w:w="2250" w:type="dxa"/>
            <w:vAlign w:val="center"/>
          </w:tcPr>
          <w:p>
            <w:pPr>
              <w:pStyle w:val="7"/>
              <w:adjustRightInd w:val="0"/>
              <w:snapToGrid w:val="0"/>
              <w:ind w:firstLine="0"/>
              <w:jc w:val="center"/>
              <w:rPr>
                <w:b/>
              </w:rPr>
            </w:pPr>
            <w:r>
              <w:rPr>
                <w:b/>
              </w:rPr>
              <w:t>项目决策</w:t>
            </w:r>
          </w:p>
        </w:tc>
        <w:tc>
          <w:tcPr>
            <w:tcW w:w="3240" w:type="dxa"/>
            <w:vAlign w:val="center"/>
          </w:tcPr>
          <w:p>
            <w:pPr>
              <w:adjustRightInd w:val="0"/>
              <w:snapToGrid w:val="0"/>
              <w:jc w:val="center"/>
              <w:rPr>
                <w:bCs/>
                <w:szCs w:val="24"/>
              </w:rPr>
            </w:pPr>
            <w:r>
              <w:rPr>
                <w:bCs/>
                <w:szCs w:val="24"/>
              </w:rPr>
              <w:t>10</w:t>
            </w:r>
          </w:p>
        </w:tc>
        <w:tc>
          <w:tcPr>
            <w:tcW w:w="2995" w:type="dxa"/>
            <w:vAlign w:val="center"/>
          </w:tcPr>
          <w:p>
            <w:pPr>
              <w:adjustRightInd w:val="0"/>
              <w:snapToGrid w:val="0"/>
              <w:jc w:val="center"/>
              <w:rPr>
                <w:bCs/>
                <w:szCs w:val="24"/>
              </w:rPr>
            </w:pPr>
            <w:r>
              <w:rPr>
                <w:bCs/>
                <w:szCs w:val="24"/>
              </w:rPr>
              <w:t>8.14</w:t>
            </w:r>
          </w:p>
        </w:tc>
      </w:tr>
      <w:tr>
        <w:trPr>
          <w:cantSplit/>
          <w:trHeight w:val="454" w:hRule="atLeast"/>
        </w:trPr>
        <w:tc>
          <w:tcPr>
            <w:tcW w:w="2250" w:type="dxa"/>
            <w:vAlign w:val="center"/>
          </w:tcPr>
          <w:p>
            <w:pPr>
              <w:adjustRightInd w:val="0"/>
              <w:snapToGrid w:val="0"/>
              <w:jc w:val="center"/>
              <w:rPr>
                <w:b/>
                <w:szCs w:val="21"/>
              </w:rPr>
            </w:pPr>
            <w:r>
              <w:rPr>
                <w:b/>
                <w:szCs w:val="21"/>
              </w:rPr>
              <w:t>项目过程</w:t>
            </w:r>
          </w:p>
        </w:tc>
        <w:tc>
          <w:tcPr>
            <w:tcW w:w="3240" w:type="dxa"/>
            <w:vAlign w:val="center"/>
          </w:tcPr>
          <w:p>
            <w:pPr>
              <w:adjustRightInd w:val="0"/>
              <w:snapToGrid w:val="0"/>
              <w:jc w:val="center"/>
              <w:rPr>
                <w:bCs/>
                <w:szCs w:val="24"/>
              </w:rPr>
            </w:pPr>
            <w:r>
              <w:rPr>
                <w:bCs/>
                <w:szCs w:val="24"/>
              </w:rPr>
              <w:t>20</w:t>
            </w:r>
          </w:p>
        </w:tc>
        <w:tc>
          <w:tcPr>
            <w:tcW w:w="2995" w:type="dxa"/>
            <w:vAlign w:val="center"/>
          </w:tcPr>
          <w:p>
            <w:pPr>
              <w:adjustRightInd w:val="0"/>
              <w:snapToGrid w:val="0"/>
              <w:jc w:val="center"/>
              <w:rPr>
                <w:bCs/>
                <w:szCs w:val="24"/>
              </w:rPr>
            </w:pPr>
            <w:r>
              <w:rPr>
                <w:bCs/>
                <w:szCs w:val="24"/>
              </w:rPr>
              <w:t>17.44</w:t>
            </w:r>
          </w:p>
        </w:tc>
      </w:tr>
      <w:tr>
        <w:trPr>
          <w:cantSplit/>
          <w:trHeight w:val="454" w:hRule="atLeast"/>
        </w:trPr>
        <w:tc>
          <w:tcPr>
            <w:tcW w:w="2250" w:type="dxa"/>
            <w:vAlign w:val="center"/>
          </w:tcPr>
          <w:p>
            <w:pPr>
              <w:adjustRightInd w:val="0"/>
              <w:snapToGrid w:val="0"/>
              <w:jc w:val="center"/>
              <w:rPr>
                <w:b/>
                <w:szCs w:val="21"/>
              </w:rPr>
            </w:pPr>
            <w:r>
              <w:rPr>
                <w:b/>
                <w:szCs w:val="21"/>
              </w:rPr>
              <w:t>项目产出</w:t>
            </w:r>
          </w:p>
        </w:tc>
        <w:tc>
          <w:tcPr>
            <w:tcW w:w="3240" w:type="dxa"/>
            <w:vAlign w:val="center"/>
          </w:tcPr>
          <w:p>
            <w:pPr>
              <w:adjustRightInd w:val="0"/>
              <w:snapToGrid w:val="0"/>
              <w:jc w:val="center"/>
              <w:rPr>
                <w:bCs/>
                <w:szCs w:val="24"/>
              </w:rPr>
            </w:pPr>
            <w:r>
              <w:rPr>
                <w:bCs/>
                <w:szCs w:val="24"/>
              </w:rPr>
              <w:t>40</w:t>
            </w:r>
          </w:p>
        </w:tc>
        <w:tc>
          <w:tcPr>
            <w:tcW w:w="2995" w:type="dxa"/>
            <w:vAlign w:val="center"/>
          </w:tcPr>
          <w:p>
            <w:pPr>
              <w:adjustRightInd w:val="0"/>
              <w:snapToGrid w:val="0"/>
              <w:jc w:val="center"/>
              <w:rPr>
                <w:bCs/>
                <w:szCs w:val="24"/>
              </w:rPr>
            </w:pPr>
            <w:r>
              <w:rPr>
                <w:bCs/>
                <w:szCs w:val="24"/>
              </w:rPr>
              <w:t>32.60</w:t>
            </w:r>
          </w:p>
        </w:tc>
      </w:tr>
      <w:tr>
        <w:trPr>
          <w:cantSplit/>
          <w:trHeight w:val="454" w:hRule="atLeast"/>
        </w:trPr>
        <w:tc>
          <w:tcPr>
            <w:tcW w:w="2250" w:type="dxa"/>
            <w:vAlign w:val="center"/>
          </w:tcPr>
          <w:p>
            <w:pPr>
              <w:adjustRightInd w:val="0"/>
              <w:snapToGrid w:val="0"/>
              <w:jc w:val="center"/>
              <w:rPr>
                <w:b/>
                <w:szCs w:val="21"/>
              </w:rPr>
            </w:pPr>
            <w:r>
              <w:rPr>
                <w:b/>
                <w:szCs w:val="21"/>
              </w:rPr>
              <w:t>项目效益</w:t>
            </w:r>
          </w:p>
        </w:tc>
        <w:tc>
          <w:tcPr>
            <w:tcW w:w="3240" w:type="dxa"/>
            <w:vAlign w:val="center"/>
          </w:tcPr>
          <w:p>
            <w:pPr>
              <w:adjustRightInd w:val="0"/>
              <w:snapToGrid w:val="0"/>
              <w:jc w:val="center"/>
              <w:rPr>
                <w:bCs/>
                <w:szCs w:val="24"/>
              </w:rPr>
            </w:pPr>
            <w:r>
              <w:rPr>
                <w:bCs/>
                <w:szCs w:val="24"/>
              </w:rPr>
              <w:t>30</w:t>
            </w:r>
          </w:p>
        </w:tc>
        <w:tc>
          <w:tcPr>
            <w:tcW w:w="2995" w:type="dxa"/>
            <w:vAlign w:val="center"/>
          </w:tcPr>
          <w:p>
            <w:pPr>
              <w:adjustRightInd w:val="0"/>
              <w:snapToGrid w:val="0"/>
              <w:jc w:val="center"/>
              <w:rPr>
                <w:bCs/>
                <w:szCs w:val="24"/>
              </w:rPr>
            </w:pPr>
            <w:r>
              <w:rPr>
                <w:bCs/>
                <w:szCs w:val="24"/>
              </w:rPr>
              <w:t>24.30</w:t>
            </w:r>
          </w:p>
        </w:tc>
      </w:tr>
      <w:tr>
        <w:trPr>
          <w:cantSplit/>
          <w:trHeight w:val="454" w:hRule="atLeast"/>
        </w:trPr>
        <w:tc>
          <w:tcPr>
            <w:tcW w:w="2250" w:type="dxa"/>
            <w:vAlign w:val="center"/>
          </w:tcPr>
          <w:p>
            <w:pPr>
              <w:adjustRightInd w:val="0"/>
              <w:snapToGrid w:val="0"/>
              <w:jc w:val="center"/>
              <w:rPr>
                <w:b/>
                <w:szCs w:val="24"/>
              </w:rPr>
            </w:pPr>
            <w:r>
              <w:rPr>
                <w:b/>
                <w:szCs w:val="24"/>
              </w:rPr>
              <w:t>综合得分</w:t>
            </w:r>
          </w:p>
        </w:tc>
        <w:tc>
          <w:tcPr>
            <w:tcW w:w="3240" w:type="dxa"/>
            <w:vAlign w:val="center"/>
          </w:tcPr>
          <w:p>
            <w:pPr>
              <w:adjustRightInd w:val="0"/>
              <w:snapToGrid w:val="0"/>
              <w:jc w:val="center"/>
              <w:rPr>
                <w:b/>
                <w:szCs w:val="24"/>
              </w:rPr>
            </w:pPr>
            <w:r>
              <w:rPr>
                <w:b/>
                <w:szCs w:val="24"/>
              </w:rPr>
              <w:t>100</w:t>
            </w:r>
          </w:p>
        </w:tc>
        <w:tc>
          <w:tcPr>
            <w:tcW w:w="2995" w:type="dxa"/>
            <w:vAlign w:val="center"/>
          </w:tcPr>
          <w:p>
            <w:pPr>
              <w:adjustRightInd w:val="0"/>
              <w:snapToGrid w:val="0"/>
              <w:jc w:val="center"/>
              <w:rPr>
                <w:bCs/>
                <w:szCs w:val="24"/>
              </w:rPr>
            </w:pPr>
            <w:r>
              <w:rPr>
                <w:b/>
                <w:szCs w:val="24"/>
              </w:rPr>
              <w:t>82.48</w:t>
            </w:r>
          </w:p>
        </w:tc>
      </w:tr>
      <w:tr>
        <w:trPr>
          <w:cantSplit/>
          <w:trHeight w:val="454" w:hRule="atLeast"/>
        </w:trPr>
        <w:tc>
          <w:tcPr>
            <w:tcW w:w="2250" w:type="dxa"/>
            <w:vAlign w:val="center"/>
          </w:tcPr>
          <w:p>
            <w:pPr>
              <w:adjustRightInd w:val="0"/>
              <w:snapToGrid w:val="0"/>
              <w:jc w:val="center"/>
              <w:rPr>
                <w:b/>
                <w:szCs w:val="24"/>
              </w:rPr>
            </w:pPr>
            <w:r>
              <w:rPr>
                <w:b/>
                <w:szCs w:val="24"/>
              </w:rPr>
              <w:t>绩效评定级别</w:t>
            </w:r>
          </w:p>
        </w:tc>
        <w:tc>
          <w:tcPr>
            <w:tcW w:w="6235" w:type="dxa"/>
            <w:gridSpan w:val="2"/>
            <w:vAlign w:val="center"/>
          </w:tcPr>
          <w:p>
            <w:pPr>
              <w:adjustRightInd w:val="0"/>
              <w:snapToGrid w:val="0"/>
              <w:jc w:val="center"/>
              <w:rPr>
                <w:b/>
                <w:szCs w:val="24"/>
                <w:highlight w:val="yellow"/>
              </w:rPr>
            </w:pPr>
            <w:r>
              <w:rPr>
                <w:b/>
                <w:szCs w:val="24"/>
              </w:rPr>
              <w:t>良</w:t>
            </w:r>
          </w:p>
        </w:tc>
      </w:tr>
    </w:tbl>
    <w:p>
      <w:pPr>
        <w:adjustRightInd w:val="0"/>
        <w:spacing w:line="360" w:lineRule="auto"/>
        <w:ind w:firstLine="640"/>
        <w:outlineLvl w:val="0"/>
        <w:rPr>
          <w:rFonts w:eastAsia="黑体"/>
          <w:sz w:val="32"/>
          <w:szCs w:val="32"/>
          <w:lang w:eastAsia="zh-Hans"/>
        </w:rPr>
      </w:pPr>
      <w:bookmarkStart w:id="32" w:name="_Toc15636"/>
      <w:bookmarkStart w:id="33" w:name="_Toc6962"/>
      <w:bookmarkStart w:id="34" w:name="_Toc1963262749"/>
      <w:r>
        <w:rPr>
          <w:rFonts w:eastAsia="黑体"/>
          <w:sz w:val="32"/>
          <w:szCs w:val="32"/>
          <w:lang w:eastAsia="zh-Hans"/>
        </w:rPr>
        <w:t>四、绩效评价指标分析</w:t>
      </w:r>
      <w:bookmarkEnd w:id="32"/>
      <w:bookmarkEnd w:id="33"/>
      <w:bookmarkEnd w:id="34"/>
    </w:p>
    <w:p>
      <w:pPr>
        <w:adjustRightInd w:val="0"/>
        <w:spacing w:line="360" w:lineRule="auto"/>
        <w:ind w:firstLine="643"/>
        <w:outlineLvl w:val="1"/>
        <w:rPr>
          <w:rFonts w:eastAsia="楷体_GB2312"/>
          <w:b/>
          <w:sz w:val="32"/>
        </w:rPr>
      </w:pPr>
      <w:bookmarkStart w:id="35" w:name="_Toc15979"/>
      <w:bookmarkStart w:id="36" w:name="_Toc470786288"/>
      <w:bookmarkStart w:id="37" w:name="_Toc8372"/>
      <w:bookmarkStart w:id="38" w:name="_Toc21955"/>
      <w:r>
        <w:rPr>
          <w:rFonts w:eastAsia="楷体_GB2312"/>
          <w:b/>
          <w:sz w:val="32"/>
        </w:rPr>
        <w:t>（一）项目决策情况评价分析</w:t>
      </w:r>
      <w:bookmarkEnd w:id="35"/>
      <w:bookmarkEnd w:id="36"/>
      <w:bookmarkEnd w:id="37"/>
    </w:p>
    <w:p>
      <w:pPr>
        <w:adjustRightInd w:val="0"/>
        <w:spacing w:line="360" w:lineRule="auto"/>
        <w:ind w:firstLine="640"/>
        <w:rPr>
          <w:rFonts w:eastAsia="仿宋_GB2312"/>
          <w:bCs/>
          <w:sz w:val="32"/>
          <w:szCs w:val="32"/>
        </w:rPr>
      </w:pPr>
      <w:r>
        <w:rPr>
          <w:rFonts w:eastAsia="仿宋_GB2312"/>
          <w:bCs/>
          <w:sz w:val="32"/>
          <w:szCs w:val="32"/>
        </w:rPr>
        <w:t>1.项目立项情况评价分析</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劳模工作部根据《北京市总工会印发</w:t>
      </w:r>
      <w:r>
        <w:rPr>
          <w:rFonts w:hint="eastAsia" w:ascii="仿宋_GB2312" w:eastAsia="仿宋_GB2312"/>
          <w:color w:val="000000"/>
          <w:kern w:val="0"/>
          <w:sz w:val="32"/>
          <w:szCs w:val="32"/>
        </w:rPr>
        <w:t>〈</w:t>
      </w:r>
      <w:r>
        <w:rPr>
          <w:rFonts w:eastAsia="仿宋_GB2312"/>
          <w:color w:val="000000"/>
          <w:kern w:val="0"/>
          <w:sz w:val="32"/>
          <w:szCs w:val="32"/>
        </w:rPr>
        <w:t>关于进一步加强劳模队伍建设的实施方案</w:t>
      </w:r>
      <w:r>
        <w:rPr>
          <w:rFonts w:hint="eastAsia" w:ascii="仿宋_GB2312" w:eastAsia="仿宋_GB2312"/>
          <w:color w:val="000000"/>
          <w:kern w:val="0"/>
          <w:sz w:val="32"/>
          <w:szCs w:val="32"/>
        </w:rPr>
        <w:t>〉</w:t>
      </w:r>
      <w:r>
        <w:rPr>
          <w:rFonts w:eastAsia="仿宋_GB2312"/>
          <w:color w:val="000000"/>
          <w:kern w:val="0"/>
          <w:sz w:val="32"/>
          <w:szCs w:val="32"/>
        </w:rPr>
        <w:t>的通知》（京工发〔2015〕1号）、《北京市总工会关于加强和改进劳模工作的意见</w:t>
      </w:r>
      <w:r>
        <w:rPr>
          <w:rFonts w:hint="eastAsia" w:eastAsia="仿宋_GB2312"/>
          <w:color w:val="000000"/>
          <w:kern w:val="0"/>
          <w:sz w:val="32"/>
          <w:szCs w:val="32"/>
        </w:rPr>
        <w:t>》</w:t>
      </w:r>
      <w:r>
        <w:rPr>
          <w:rFonts w:eastAsia="仿宋_GB2312"/>
          <w:color w:val="000000"/>
          <w:kern w:val="0"/>
          <w:sz w:val="32"/>
          <w:szCs w:val="32"/>
        </w:rPr>
        <w:t>（京工发〔2010〕68号）、《北京市总工会办公室关于印发</w:t>
      </w:r>
      <w:r>
        <w:rPr>
          <w:rFonts w:hint="eastAsia" w:ascii="仿宋_GB2312" w:eastAsia="仿宋_GB2312"/>
          <w:color w:val="000000"/>
          <w:kern w:val="0"/>
          <w:sz w:val="32"/>
          <w:szCs w:val="32"/>
        </w:rPr>
        <w:t>〈</w:t>
      </w:r>
      <w:r>
        <w:rPr>
          <w:rFonts w:eastAsia="仿宋_GB2312"/>
          <w:color w:val="000000"/>
          <w:kern w:val="0"/>
          <w:sz w:val="32"/>
          <w:szCs w:val="32"/>
        </w:rPr>
        <w:t>北京市全国和市级劳模专项补助资金发放管理办法（试行）</w:t>
      </w:r>
      <w:r>
        <w:rPr>
          <w:rFonts w:hint="eastAsia" w:ascii="仿宋_GB2312" w:eastAsia="仿宋_GB2312"/>
          <w:color w:val="000000"/>
          <w:kern w:val="0"/>
          <w:sz w:val="32"/>
          <w:szCs w:val="32"/>
        </w:rPr>
        <w:t>〉</w:t>
      </w:r>
      <w:r>
        <w:rPr>
          <w:rFonts w:eastAsia="仿宋_GB2312"/>
          <w:color w:val="000000"/>
          <w:kern w:val="0"/>
          <w:sz w:val="32"/>
          <w:szCs w:val="32"/>
        </w:rPr>
        <w:t>的通知》（京工办发〔2017〕70号）、《中华全国总工会办公厅关于印发</w:t>
      </w:r>
      <w:r>
        <w:rPr>
          <w:rFonts w:hint="eastAsia" w:ascii="仿宋_GB2312" w:eastAsia="仿宋_GB2312"/>
          <w:color w:val="000000"/>
          <w:kern w:val="0"/>
          <w:sz w:val="32"/>
          <w:szCs w:val="32"/>
        </w:rPr>
        <w:t>〈</w:t>
      </w:r>
      <w:r>
        <w:rPr>
          <w:rFonts w:eastAsia="仿宋_GB2312"/>
          <w:color w:val="000000"/>
          <w:kern w:val="0"/>
          <w:sz w:val="32"/>
          <w:szCs w:val="32"/>
        </w:rPr>
        <w:t>全国劳模专项补助资金发放管理办法（试行）</w:t>
      </w:r>
      <w:r>
        <w:rPr>
          <w:rFonts w:hint="eastAsia" w:ascii="仿宋_GB2312" w:eastAsia="仿宋_GB2312"/>
          <w:color w:val="000000"/>
          <w:kern w:val="0"/>
          <w:sz w:val="32"/>
          <w:szCs w:val="32"/>
        </w:rPr>
        <w:t>〉</w:t>
      </w:r>
      <w:r>
        <w:rPr>
          <w:rFonts w:eastAsia="仿宋_GB2312"/>
          <w:color w:val="000000"/>
          <w:kern w:val="0"/>
          <w:sz w:val="32"/>
          <w:szCs w:val="32"/>
        </w:rPr>
        <w:t>的通知》（京工办发〔2014〕19号）等相关文件要求</w:t>
      </w:r>
      <w:r>
        <w:rPr>
          <w:rFonts w:hint="eastAsia" w:eastAsia="仿宋_GB2312"/>
          <w:color w:val="000000"/>
          <w:kern w:val="0"/>
          <w:sz w:val="32"/>
          <w:szCs w:val="32"/>
        </w:rPr>
        <w:t>申报</w:t>
      </w:r>
      <w:r>
        <w:rPr>
          <w:rFonts w:eastAsia="仿宋_GB2312"/>
          <w:color w:val="000000"/>
          <w:kern w:val="0"/>
          <w:sz w:val="32"/>
          <w:szCs w:val="32"/>
        </w:rPr>
        <w:t>实施该项目。2021年市总工会劳模工作部共申请市级劳模专项补助资金3,092.495</w:t>
      </w:r>
      <w:r>
        <w:rPr>
          <w:rFonts w:hint="eastAsia" w:eastAsia="仿宋_GB2312"/>
          <w:color w:val="000000"/>
          <w:kern w:val="0"/>
          <w:sz w:val="32"/>
          <w:szCs w:val="32"/>
          <w:lang w:eastAsia="zh-Hans"/>
        </w:rPr>
        <w:t>万</w:t>
      </w:r>
      <w:r>
        <w:rPr>
          <w:rFonts w:eastAsia="仿宋_GB2312"/>
          <w:color w:val="000000"/>
          <w:kern w:val="0"/>
          <w:sz w:val="32"/>
          <w:szCs w:val="32"/>
        </w:rPr>
        <w:t>元。</w:t>
      </w:r>
    </w:p>
    <w:p>
      <w:pPr>
        <w:adjustRightInd w:val="0"/>
        <w:spacing w:line="360" w:lineRule="auto"/>
        <w:ind w:firstLine="640"/>
        <w:rPr>
          <w:rFonts w:eastAsia="仿宋_GB2312"/>
          <w:color w:val="000000"/>
          <w:kern w:val="0"/>
          <w:sz w:val="32"/>
          <w:szCs w:val="32"/>
          <w:lang w:eastAsia="zh-Hans"/>
        </w:rPr>
      </w:pPr>
      <w:r>
        <w:rPr>
          <w:rFonts w:eastAsia="仿宋_GB2312"/>
          <w:color w:val="000000"/>
          <w:kern w:val="0"/>
          <w:sz w:val="32"/>
          <w:szCs w:val="32"/>
        </w:rPr>
        <w:t>评价分析认为：该项目决策程序科学、规范，与劳模工作部的工作计划、职能要求相符，但前期需求调研不</w:t>
      </w:r>
      <w:r>
        <w:rPr>
          <w:rFonts w:hint="eastAsia" w:eastAsia="仿宋_GB2312"/>
          <w:color w:val="000000"/>
          <w:kern w:val="0"/>
          <w:sz w:val="32"/>
          <w:szCs w:val="32"/>
          <w:lang w:eastAsia="zh-Hans"/>
        </w:rPr>
        <w:t>够</w:t>
      </w:r>
      <w:r>
        <w:rPr>
          <w:rFonts w:eastAsia="仿宋_GB2312"/>
          <w:color w:val="000000"/>
          <w:kern w:val="0"/>
          <w:sz w:val="32"/>
          <w:szCs w:val="32"/>
        </w:rPr>
        <w:t>充分</w:t>
      </w:r>
      <w:r>
        <w:rPr>
          <w:rFonts w:hint="eastAsia" w:eastAsia="仿宋_GB2312"/>
          <w:color w:val="000000"/>
          <w:kern w:val="0"/>
          <w:sz w:val="32"/>
          <w:szCs w:val="32"/>
          <w:lang w:eastAsia="zh-Hans"/>
        </w:rPr>
        <w:t>。</w:t>
      </w:r>
    </w:p>
    <w:p>
      <w:pPr>
        <w:adjustRightInd w:val="0"/>
        <w:spacing w:line="360" w:lineRule="auto"/>
        <w:ind w:firstLine="640"/>
        <w:rPr>
          <w:rFonts w:eastAsia="仿宋_GB2312"/>
          <w:bCs/>
          <w:sz w:val="32"/>
          <w:szCs w:val="32"/>
        </w:rPr>
      </w:pPr>
      <w:r>
        <w:rPr>
          <w:rFonts w:eastAsia="仿宋_GB2312"/>
          <w:bCs/>
          <w:sz w:val="32"/>
          <w:szCs w:val="32"/>
        </w:rPr>
        <w:t>2.绩效目标评价分析</w:t>
      </w:r>
    </w:p>
    <w:p>
      <w:pPr>
        <w:adjustRightInd w:val="0"/>
        <w:spacing w:line="360" w:lineRule="auto"/>
        <w:ind w:firstLine="640"/>
        <w:rPr>
          <w:rFonts w:eastAsia="仿宋_GB2312"/>
          <w:sz w:val="32"/>
        </w:rPr>
      </w:pPr>
      <w:r>
        <w:rPr>
          <w:rFonts w:eastAsia="仿宋_GB2312"/>
          <w:sz w:val="32"/>
        </w:rPr>
        <w:t>该项目绩效目标设定为：切实将党和政府对全市劳模关心关爱落实到实处，切实帮助出现生活困难的市级劳模解决实际问题，做到应帮尽帮。建立切实可行的劳模困难帮扶工作机制，通过日常帮扶与节日走访慰问相结合的形式，积极解决劳模现实生活困难，在全社会营造学习劳模、尊重劳模、关爱劳模、崇尚劳模、争当劳模的良好氛围，引导全市职工群众立足本职，爱岗敬业，无私奉献，开拓进取，争创一流</w:t>
      </w:r>
      <w:r>
        <w:rPr>
          <w:rFonts w:hint="eastAsia" w:eastAsia="仿宋_GB2312"/>
          <w:sz w:val="32"/>
        </w:rPr>
        <w:t>的精神</w:t>
      </w:r>
      <w:r>
        <w:rPr>
          <w:rFonts w:eastAsia="仿宋_GB2312"/>
          <w:sz w:val="32"/>
        </w:rPr>
        <w:t>，为建设社会主义和谐社会做出新的业绩。</w:t>
      </w:r>
    </w:p>
    <w:p>
      <w:pPr>
        <w:adjustRightInd w:val="0"/>
        <w:spacing w:line="360" w:lineRule="auto"/>
        <w:ind w:firstLine="640"/>
        <w:rPr>
          <w:rFonts w:eastAsia="仿宋_GB2312"/>
          <w:bCs/>
          <w:sz w:val="32"/>
          <w:szCs w:val="32"/>
        </w:rPr>
      </w:pPr>
      <w:r>
        <w:rPr>
          <w:rFonts w:eastAsia="仿宋_GB2312"/>
          <w:bCs/>
          <w:sz w:val="32"/>
          <w:szCs w:val="32"/>
        </w:rPr>
        <w:t>评价分析认为：该项目绩效目标设立方向和提供的决策文件基本相符，但部分指标设置的合理性不足。质量指标</w:t>
      </w:r>
      <w:r>
        <w:rPr>
          <w:rFonts w:hint="eastAsia" w:eastAsia="仿宋_GB2312"/>
          <w:bCs/>
          <w:sz w:val="32"/>
          <w:szCs w:val="32"/>
        </w:rPr>
        <w:t>设置为</w:t>
      </w:r>
      <w:r>
        <w:rPr>
          <w:rFonts w:eastAsia="仿宋_GB2312"/>
          <w:bCs/>
          <w:sz w:val="32"/>
          <w:szCs w:val="32"/>
        </w:rPr>
        <w:t>人均补贴额度不合理，应是补助发放的及时准确性、疗养的质量、体检的质量标准；进度指标设置不够细化，</w:t>
      </w:r>
      <w:r>
        <w:rPr>
          <w:rFonts w:hint="eastAsia" w:eastAsia="仿宋_GB2312"/>
          <w:bCs/>
          <w:sz w:val="32"/>
          <w:szCs w:val="32"/>
        </w:rPr>
        <w:t>未</w:t>
      </w:r>
      <w:r>
        <w:rPr>
          <w:rFonts w:eastAsia="仿宋_GB2312"/>
          <w:bCs/>
          <w:sz w:val="32"/>
          <w:szCs w:val="32"/>
        </w:rPr>
        <w:t>细化到月度区间；效益指标设置较为宏观，缺乏可衡量性，可持续影响指标设定不够精准，可设定通过疗养和体检，建立健全劳模健康管理系统，持续监测和改善健康状况，提高生活质量等；服务对象满意度指标设置为“健康疗休养和体检满意度”，满意度调查对象未覆盖享受春节慰问、享受生活困难补助和享受特殊困难补助的人员，受益对象不完整。</w:t>
      </w:r>
    </w:p>
    <w:p>
      <w:pPr>
        <w:adjustRightInd w:val="0"/>
        <w:spacing w:line="360" w:lineRule="auto"/>
        <w:ind w:firstLine="640"/>
        <w:rPr>
          <w:rFonts w:eastAsia="仿宋_GB2312"/>
          <w:bCs/>
          <w:sz w:val="32"/>
          <w:szCs w:val="32"/>
        </w:rPr>
      </w:pPr>
      <w:r>
        <w:rPr>
          <w:rFonts w:eastAsia="仿宋_GB2312"/>
          <w:bCs/>
          <w:sz w:val="32"/>
          <w:szCs w:val="32"/>
        </w:rPr>
        <w:t>3.资金投入情况评价分析</w:t>
      </w:r>
    </w:p>
    <w:p>
      <w:pPr>
        <w:adjustRightInd w:val="0"/>
        <w:spacing w:line="360" w:lineRule="auto"/>
        <w:ind w:firstLine="640"/>
        <w:rPr>
          <w:rFonts w:eastAsia="仿宋_GB2312"/>
          <w:color w:val="000000"/>
          <w:kern w:val="0"/>
          <w:sz w:val="32"/>
          <w:szCs w:val="32"/>
          <w:highlight w:val="yellow"/>
        </w:rPr>
      </w:pPr>
      <w:r>
        <w:rPr>
          <w:rFonts w:eastAsia="仿宋_GB2312"/>
          <w:color w:val="000000"/>
          <w:kern w:val="0"/>
          <w:sz w:val="32"/>
          <w:szCs w:val="32"/>
        </w:rPr>
        <w:t>根据《北京市财政局关于批复北京市总工会2021年预算的函》（京财党政群指〔2021〕138号）文件及项目申报书，2021年该项目申请并批复预算</w:t>
      </w:r>
      <w:r>
        <w:rPr>
          <w:rFonts w:hint="eastAsia" w:eastAsia="仿宋_GB2312"/>
          <w:color w:val="000000"/>
          <w:kern w:val="0"/>
          <w:sz w:val="32"/>
          <w:szCs w:val="32"/>
        </w:rPr>
        <w:t>资金</w:t>
      </w:r>
      <w:r>
        <w:rPr>
          <w:rFonts w:eastAsia="仿宋_GB2312"/>
          <w:color w:val="000000"/>
          <w:kern w:val="0"/>
          <w:sz w:val="32"/>
          <w:szCs w:val="32"/>
        </w:rPr>
        <w:t>3,092.495万元，其中</w:t>
      </w:r>
      <w:r>
        <w:rPr>
          <w:rFonts w:eastAsia="仿宋_GB2312"/>
          <w:sz w:val="32"/>
          <w:szCs w:val="32"/>
        </w:rPr>
        <w:t>春节慰问金</w:t>
      </w:r>
      <w:r>
        <w:rPr>
          <w:rFonts w:eastAsia="仿宋_GB2312"/>
          <w:color w:val="000000"/>
          <w:kern w:val="0"/>
          <w:sz w:val="32"/>
          <w:szCs w:val="32"/>
        </w:rPr>
        <w:t>1,315.00</w:t>
      </w:r>
      <w:r>
        <w:rPr>
          <w:rFonts w:eastAsia="仿宋_GB2312"/>
          <w:sz w:val="32"/>
          <w:szCs w:val="32"/>
        </w:rPr>
        <w:t>万元，生活困难补助金</w:t>
      </w:r>
      <w:r>
        <w:rPr>
          <w:rFonts w:eastAsia="仿宋_GB2312"/>
          <w:color w:val="000000"/>
          <w:kern w:val="0"/>
          <w:sz w:val="32"/>
          <w:szCs w:val="32"/>
        </w:rPr>
        <w:t>498.995</w:t>
      </w:r>
      <w:r>
        <w:rPr>
          <w:rFonts w:eastAsia="仿宋_GB2312"/>
          <w:sz w:val="32"/>
          <w:szCs w:val="32"/>
        </w:rPr>
        <w:t>万元，特殊困难帮扶金</w:t>
      </w:r>
      <w:r>
        <w:rPr>
          <w:rFonts w:eastAsia="仿宋_GB2312"/>
          <w:color w:val="000000"/>
          <w:kern w:val="0"/>
          <w:sz w:val="32"/>
          <w:szCs w:val="32"/>
        </w:rPr>
        <w:t>640.00</w:t>
      </w:r>
      <w:r>
        <w:rPr>
          <w:rFonts w:eastAsia="仿宋_GB2312"/>
          <w:sz w:val="32"/>
          <w:szCs w:val="32"/>
        </w:rPr>
        <w:t>万元</w:t>
      </w:r>
      <w:r>
        <w:rPr>
          <w:rFonts w:hint="eastAsia" w:eastAsia="仿宋_GB2312"/>
          <w:sz w:val="32"/>
          <w:szCs w:val="32"/>
        </w:rPr>
        <w:t>，</w:t>
      </w:r>
      <w:r>
        <w:rPr>
          <w:rFonts w:eastAsia="仿宋_GB2312"/>
          <w:sz w:val="32"/>
          <w:szCs w:val="32"/>
        </w:rPr>
        <w:t>健康疗休养资金</w:t>
      </w:r>
      <w:r>
        <w:rPr>
          <w:rFonts w:eastAsia="仿宋_GB2312"/>
          <w:color w:val="000000"/>
          <w:kern w:val="0"/>
          <w:sz w:val="32"/>
          <w:szCs w:val="32"/>
        </w:rPr>
        <w:t>512.00</w:t>
      </w:r>
      <w:r>
        <w:rPr>
          <w:rFonts w:eastAsia="仿宋_GB2312"/>
          <w:sz w:val="32"/>
          <w:szCs w:val="32"/>
        </w:rPr>
        <w:t>万元，健康体检资金</w:t>
      </w:r>
      <w:r>
        <w:rPr>
          <w:rFonts w:eastAsia="仿宋_GB2312"/>
          <w:color w:val="000000"/>
          <w:kern w:val="0"/>
          <w:sz w:val="32"/>
          <w:szCs w:val="32"/>
        </w:rPr>
        <w:t>126.50</w:t>
      </w:r>
      <w:r>
        <w:rPr>
          <w:rFonts w:eastAsia="仿宋_GB2312"/>
          <w:sz w:val="32"/>
          <w:szCs w:val="32"/>
        </w:rPr>
        <w:t>万元。</w:t>
      </w:r>
    </w:p>
    <w:p>
      <w:pPr>
        <w:adjustRightInd w:val="0"/>
        <w:spacing w:line="360" w:lineRule="auto"/>
        <w:ind w:firstLine="640"/>
        <w:rPr>
          <w:rFonts w:eastAsia="楷体_GB2312"/>
          <w:b/>
          <w:sz w:val="32"/>
        </w:rPr>
      </w:pPr>
      <w:r>
        <w:rPr>
          <w:rFonts w:eastAsia="仿宋_GB2312"/>
          <w:color w:val="000000"/>
          <w:kern w:val="0"/>
          <w:sz w:val="32"/>
          <w:szCs w:val="32"/>
        </w:rPr>
        <w:t>评价分析认为：该项目资金及时到位，较好地为目标实现提供了资金保障，但特殊困难补助标准不明确</w:t>
      </w:r>
      <w:r>
        <w:rPr>
          <w:rFonts w:hint="eastAsia" w:eastAsia="仿宋_GB2312"/>
          <w:color w:val="000000"/>
          <w:kern w:val="0"/>
          <w:sz w:val="32"/>
          <w:szCs w:val="32"/>
        </w:rPr>
        <w:t>，</w:t>
      </w:r>
      <w:r>
        <w:rPr>
          <w:rFonts w:eastAsia="仿宋_GB2312"/>
          <w:color w:val="000000"/>
          <w:kern w:val="0"/>
          <w:sz w:val="32"/>
          <w:szCs w:val="32"/>
        </w:rPr>
        <w:t>预算编制细化程度有待加强</w:t>
      </w:r>
      <w:bookmarkStart w:id="39" w:name="_Toc1175386868"/>
      <w:bookmarkStart w:id="40" w:name="_Toc15830"/>
      <w:bookmarkStart w:id="41" w:name="_Toc24539"/>
      <w:r>
        <w:rPr>
          <w:rFonts w:hint="eastAsia" w:eastAsia="仿宋_GB2312"/>
          <w:color w:val="000000"/>
          <w:kern w:val="0"/>
          <w:sz w:val="32"/>
          <w:szCs w:val="32"/>
          <w:lang w:eastAsia="zh-Hans"/>
        </w:rPr>
        <w:t>，未说明各级资金分担的原则。</w:t>
      </w:r>
    </w:p>
    <w:p>
      <w:pPr>
        <w:adjustRightInd w:val="0"/>
        <w:spacing w:line="360" w:lineRule="auto"/>
        <w:ind w:firstLine="643"/>
        <w:outlineLvl w:val="1"/>
        <w:rPr>
          <w:rFonts w:eastAsia="楷体_GB2312"/>
          <w:b/>
          <w:sz w:val="32"/>
        </w:rPr>
      </w:pPr>
      <w:r>
        <w:rPr>
          <w:rFonts w:eastAsia="楷体_GB2312"/>
          <w:b/>
          <w:sz w:val="32"/>
        </w:rPr>
        <w:t>（二）项目过程情况评价分析</w:t>
      </w:r>
      <w:bookmarkEnd w:id="39"/>
      <w:bookmarkEnd w:id="40"/>
      <w:bookmarkEnd w:id="41"/>
    </w:p>
    <w:p>
      <w:pPr>
        <w:keepNext w:val="0"/>
        <w:keepLines w:val="0"/>
        <w:pageBreakBefore w:val="0"/>
        <w:widowControl w:val="0"/>
        <w:kinsoku/>
        <w:wordWrap/>
        <w:overflowPunct/>
        <w:topLinePunct w:val="0"/>
        <w:autoSpaceDE/>
        <w:autoSpaceDN/>
        <w:bidi w:val="0"/>
        <w:adjustRightInd w:val="0"/>
        <w:snapToGrid/>
        <w:spacing w:line="360" w:lineRule="auto"/>
        <w:ind w:right="0" w:rightChars="0" w:firstLine="640"/>
        <w:jc w:val="both"/>
        <w:textAlignment w:val="auto"/>
        <w:outlineLvl w:val="9"/>
        <w:rPr>
          <w:rFonts w:eastAsia="仿宋_GB2312"/>
          <w:bCs/>
          <w:sz w:val="32"/>
          <w:szCs w:val="32"/>
        </w:rPr>
      </w:pPr>
      <w:r>
        <w:rPr>
          <w:rFonts w:eastAsia="仿宋_GB2312"/>
          <w:bCs/>
          <w:sz w:val="32"/>
          <w:szCs w:val="32"/>
        </w:rPr>
        <w:t>1.资金使用及管理情况评价分析</w:t>
      </w:r>
    </w:p>
    <w:p>
      <w:pPr>
        <w:keepNext w:val="0"/>
        <w:keepLines w:val="0"/>
        <w:pageBreakBefore w:val="0"/>
        <w:widowControl w:val="0"/>
        <w:kinsoku/>
        <w:wordWrap/>
        <w:overflowPunct/>
        <w:topLinePunct w:val="0"/>
        <w:autoSpaceDE/>
        <w:autoSpaceDN/>
        <w:bidi w:val="0"/>
        <w:adjustRightInd w:val="0"/>
        <w:snapToGrid/>
        <w:spacing w:line="360" w:lineRule="auto"/>
        <w:ind w:right="0" w:rightChars="0" w:firstLine="640"/>
        <w:jc w:val="both"/>
        <w:textAlignment w:val="auto"/>
        <w:outlineLvl w:val="9"/>
        <w:rPr>
          <w:rFonts w:eastAsia="仿宋_GB2312"/>
          <w:bCs/>
          <w:sz w:val="32"/>
          <w:szCs w:val="32"/>
        </w:rPr>
      </w:pPr>
      <w:r>
        <w:rPr>
          <w:rFonts w:eastAsia="仿宋_GB2312"/>
          <w:bCs/>
          <w:sz w:val="32"/>
          <w:szCs w:val="32"/>
        </w:rPr>
        <w:t>（1）资金使用情况</w:t>
      </w:r>
    </w:p>
    <w:p>
      <w:pPr>
        <w:pStyle w:val="2"/>
        <w:keepNext w:val="0"/>
        <w:keepLines w:val="0"/>
        <w:pageBreakBefore w:val="0"/>
        <w:widowControl w:val="0"/>
        <w:kinsoku/>
        <w:wordWrap/>
        <w:overflowPunct/>
        <w:topLinePunct w:val="0"/>
        <w:autoSpaceDE/>
        <w:autoSpaceDN/>
        <w:bidi w:val="0"/>
        <w:snapToGrid/>
        <w:spacing w:before="0" w:line="360" w:lineRule="auto"/>
        <w:ind w:right="0" w:rightChars="0" w:firstLine="640" w:firstLineChars="200"/>
        <w:jc w:val="both"/>
        <w:textAlignment w:val="auto"/>
        <w:outlineLvl w:val="9"/>
        <w:rPr>
          <w:rFonts w:ascii="Times New Roman" w:hAnsi="Times New Roman" w:eastAsia="仿宋_GB2312" w:cs="Times New Roman"/>
          <w:color w:val="000000"/>
          <w:kern w:val="0"/>
          <w:sz w:val="32"/>
          <w:szCs w:val="32"/>
          <w:lang w:val="en-US" w:eastAsia="zh-CN" w:bidi="ar-SA"/>
        </w:rPr>
      </w:pPr>
      <w:bookmarkStart w:id="42" w:name="_Hlk70453669"/>
      <w:r>
        <w:rPr>
          <w:rFonts w:ascii="Times New Roman" w:hAnsi="Times New Roman" w:eastAsia="仿宋_GB2312" w:cs="Times New Roman"/>
          <w:color w:val="000000"/>
          <w:kern w:val="0"/>
          <w:sz w:val="32"/>
          <w:szCs w:val="32"/>
          <w:lang w:val="en-US" w:eastAsia="zh-CN" w:bidi="ar-SA"/>
        </w:rPr>
        <w:t>该项目2021年</w:t>
      </w:r>
      <w:r>
        <w:rPr>
          <w:rFonts w:hint="eastAsia" w:ascii="Times New Roman" w:hAnsi="Times New Roman" w:eastAsia="仿宋_GB2312" w:cs="Times New Roman"/>
          <w:color w:val="000000"/>
          <w:kern w:val="0"/>
          <w:sz w:val="32"/>
          <w:szCs w:val="32"/>
          <w:lang w:val="en-US" w:eastAsia="zh-CN" w:bidi="ar-SA"/>
        </w:rPr>
        <w:t>批复</w:t>
      </w:r>
      <w:r>
        <w:rPr>
          <w:rFonts w:ascii="Times New Roman" w:hAnsi="Times New Roman" w:eastAsia="仿宋_GB2312" w:cs="Times New Roman"/>
          <w:color w:val="000000"/>
          <w:kern w:val="0"/>
          <w:sz w:val="32"/>
          <w:szCs w:val="32"/>
          <w:lang w:val="en-US" w:eastAsia="zh-CN" w:bidi="ar-SA"/>
        </w:rPr>
        <w:t>预算资金3,092.495万元，财政资金到位3,092.495万元，支出资金2,580.</w:t>
      </w:r>
      <w:r>
        <w:rPr>
          <w:rFonts w:ascii="Times New Roman" w:hAnsi="Times New Roman" w:eastAsia="仿宋_GB2312" w:cs="Times New Roman"/>
          <w:color w:val="000000"/>
          <w:kern w:val="0"/>
          <w:sz w:val="32"/>
          <w:szCs w:val="32"/>
          <w:lang w:eastAsia="zh-CN" w:bidi="ar-SA"/>
        </w:rPr>
        <w:t>3</w:t>
      </w:r>
      <w:r>
        <w:rPr>
          <w:rFonts w:ascii="Times New Roman" w:hAnsi="Times New Roman" w:eastAsia="仿宋_GB2312" w:cs="Times New Roman"/>
          <w:color w:val="000000"/>
          <w:kern w:val="0"/>
          <w:sz w:val="32"/>
          <w:szCs w:val="32"/>
          <w:lang w:val="en-US" w:eastAsia="zh-CN" w:bidi="ar-SA"/>
        </w:rPr>
        <w:t>7万元</w:t>
      </w:r>
      <w:r>
        <w:rPr>
          <w:rFonts w:hint="eastAsia" w:ascii="Times New Roman" w:hAnsi="Times New Roman" w:eastAsia="仿宋_GB2312" w:cs="Times New Roman"/>
          <w:color w:val="000000"/>
          <w:kern w:val="0"/>
          <w:sz w:val="32"/>
          <w:szCs w:val="32"/>
          <w:lang w:val="en-US" w:eastAsia="zh-Hans" w:bidi="ar-SA"/>
        </w:rPr>
        <w:t>，预算执行率</w:t>
      </w:r>
      <w:r>
        <w:rPr>
          <w:rFonts w:ascii="Times New Roman" w:hAnsi="Times New Roman" w:eastAsia="仿宋_GB2312" w:cs="Times New Roman"/>
          <w:color w:val="000000"/>
          <w:kern w:val="0"/>
          <w:sz w:val="32"/>
          <w:szCs w:val="32"/>
          <w:lang w:val="en-US" w:eastAsia="zh-Hans" w:bidi="ar-SA"/>
        </w:rPr>
        <w:t>83.44%</w:t>
      </w:r>
      <w:r>
        <w:rPr>
          <w:rFonts w:ascii="Times New Roman" w:hAnsi="Times New Roman" w:eastAsia="仿宋_GB2312" w:cs="Times New Roman"/>
          <w:color w:val="000000"/>
          <w:kern w:val="0"/>
          <w:sz w:val="32"/>
          <w:szCs w:val="32"/>
          <w:lang w:val="en-US" w:eastAsia="zh-CN" w:bidi="ar-SA"/>
        </w:rPr>
        <w:t>。由于疫情原因，2021年度健康疗休养未开展，预算金额512.00万元</w:t>
      </w:r>
      <w:r>
        <w:rPr>
          <w:rFonts w:hint="eastAsia" w:ascii="Times New Roman" w:hAnsi="Times New Roman" w:eastAsia="仿宋_GB2312" w:cs="Times New Roman"/>
          <w:color w:val="000000"/>
          <w:kern w:val="0"/>
          <w:sz w:val="32"/>
          <w:szCs w:val="32"/>
          <w:lang w:val="en-US" w:eastAsia="zh-Hans" w:bidi="ar-SA"/>
        </w:rPr>
        <w:t>报市财政局调整预算</w:t>
      </w:r>
      <w:r>
        <w:rPr>
          <w:rFonts w:ascii="Times New Roman" w:hAnsi="Times New Roman" w:eastAsia="仿宋_GB2312" w:cs="Times New Roman"/>
          <w:color w:val="000000"/>
          <w:kern w:val="0"/>
          <w:sz w:val="32"/>
          <w:szCs w:val="32"/>
          <w:lang w:val="en-US" w:eastAsia="zh-CN" w:bidi="ar-SA"/>
        </w:rPr>
        <w:t>。结余资金0.</w:t>
      </w:r>
      <w:r>
        <w:rPr>
          <w:rFonts w:ascii="Times New Roman" w:hAnsi="Times New Roman" w:eastAsia="仿宋_GB2312" w:cs="Times New Roman"/>
          <w:color w:val="000000"/>
          <w:kern w:val="0"/>
          <w:sz w:val="32"/>
          <w:szCs w:val="32"/>
          <w:lang w:eastAsia="zh-CN" w:bidi="ar-SA"/>
        </w:rPr>
        <w:t>1</w:t>
      </w:r>
      <w:r>
        <w:rPr>
          <w:rFonts w:ascii="Times New Roman" w:hAnsi="Times New Roman" w:eastAsia="仿宋_GB2312" w:cs="Times New Roman"/>
          <w:color w:val="000000"/>
          <w:kern w:val="0"/>
          <w:sz w:val="32"/>
          <w:szCs w:val="32"/>
          <w:lang w:val="en-US" w:eastAsia="zh-CN" w:bidi="ar-SA"/>
        </w:rPr>
        <w:t>3</w:t>
      </w:r>
      <w:r>
        <w:rPr>
          <w:rFonts w:hint="eastAsia" w:ascii="Times New Roman" w:hAnsi="Times New Roman" w:eastAsia="仿宋_GB2312" w:cs="Times New Roman"/>
          <w:color w:val="000000"/>
          <w:kern w:val="0"/>
          <w:sz w:val="32"/>
          <w:szCs w:val="32"/>
          <w:lang w:val="en-US" w:eastAsia="zh-Hans" w:bidi="ar-SA"/>
        </w:rPr>
        <w:t>万元</w:t>
      </w:r>
      <w:bookmarkEnd w:id="42"/>
      <w:r>
        <w:rPr>
          <w:rFonts w:hint="eastAsia" w:ascii="Times New Roman" w:hAnsi="Times New Roman" w:eastAsia="仿宋_GB2312" w:cs="Times New Roman"/>
          <w:color w:val="000000"/>
          <w:kern w:val="0"/>
          <w:sz w:val="32"/>
          <w:szCs w:val="32"/>
          <w:lang w:val="en-US" w:eastAsia="zh-Hans" w:bidi="ar-SA"/>
        </w:rPr>
        <w:t>由北京市财政局收回。</w:t>
      </w:r>
    </w:p>
    <w:p>
      <w:pPr>
        <w:keepNext w:val="0"/>
        <w:keepLines w:val="0"/>
        <w:pageBreakBefore w:val="0"/>
        <w:widowControl w:val="0"/>
        <w:kinsoku/>
        <w:wordWrap/>
        <w:overflowPunct/>
        <w:topLinePunct w:val="0"/>
        <w:autoSpaceDE/>
        <w:autoSpaceDN/>
        <w:bidi w:val="0"/>
        <w:adjustRightInd w:val="0"/>
        <w:snapToGrid/>
        <w:spacing w:line="360" w:lineRule="auto"/>
        <w:ind w:right="0" w:rightChars="0" w:firstLine="640"/>
        <w:jc w:val="both"/>
        <w:textAlignment w:val="auto"/>
        <w:outlineLvl w:val="9"/>
        <w:rPr>
          <w:rFonts w:eastAsia="仿宋_GB2312"/>
          <w:bCs/>
          <w:sz w:val="32"/>
          <w:szCs w:val="32"/>
        </w:rPr>
      </w:pPr>
      <w:r>
        <w:rPr>
          <w:rFonts w:eastAsia="仿宋_GB2312"/>
          <w:bCs/>
          <w:sz w:val="32"/>
          <w:szCs w:val="32"/>
        </w:rPr>
        <w:t>评价分析认为：该项目预算执行率</w:t>
      </w:r>
      <w:r>
        <w:rPr>
          <w:rFonts w:hint="eastAsia" w:eastAsia="仿宋_GB2312"/>
          <w:bCs/>
          <w:sz w:val="32"/>
          <w:szCs w:val="32"/>
          <w:lang w:eastAsia="zh-Hans"/>
        </w:rPr>
        <w:t>不</w:t>
      </w:r>
      <w:r>
        <w:rPr>
          <w:rFonts w:eastAsia="仿宋_GB2312"/>
          <w:bCs/>
          <w:sz w:val="32"/>
          <w:szCs w:val="32"/>
        </w:rPr>
        <w:t>高</w:t>
      </w:r>
      <w:r>
        <w:rPr>
          <w:rFonts w:hint="eastAsia" w:eastAsia="仿宋_GB2312"/>
          <w:bCs/>
          <w:sz w:val="32"/>
          <w:szCs w:val="32"/>
          <w:lang w:eastAsia="zh-Hans"/>
        </w:rPr>
        <w:t>，</w:t>
      </w:r>
      <w:r>
        <w:rPr>
          <w:rFonts w:eastAsia="仿宋_GB2312"/>
          <w:bCs/>
          <w:sz w:val="32"/>
          <w:szCs w:val="32"/>
        </w:rPr>
        <w:t>预算调整审批手续不够完善，预算决策科学性</w:t>
      </w:r>
      <w:r>
        <w:rPr>
          <w:rFonts w:hint="eastAsia" w:eastAsia="仿宋_GB2312"/>
          <w:bCs/>
          <w:sz w:val="32"/>
          <w:szCs w:val="32"/>
        </w:rPr>
        <w:t>需提高</w:t>
      </w:r>
      <w:r>
        <w:rPr>
          <w:rFonts w:eastAsia="仿宋_GB2312"/>
          <w:bCs/>
          <w:sz w:val="32"/>
          <w:szCs w:val="32"/>
        </w:rPr>
        <w:t>。</w:t>
      </w:r>
    </w:p>
    <w:p>
      <w:pPr>
        <w:adjustRightInd w:val="0"/>
        <w:spacing w:line="360" w:lineRule="auto"/>
        <w:ind w:firstLine="640"/>
        <w:rPr>
          <w:rFonts w:eastAsia="仿宋_GB2312"/>
          <w:bCs/>
          <w:sz w:val="32"/>
          <w:szCs w:val="32"/>
        </w:rPr>
      </w:pPr>
      <w:r>
        <w:rPr>
          <w:rFonts w:eastAsia="仿宋_GB2312"/>
          <w:bCs/>
          <w:sz w:val="32"/>
          <w:szCs w:val="32"/>
        </w:rPr>
        <w:t>（2）资金管理情况</w:t>
      </w:r>
    </w:p>
    <w:p>
      <w:pPr>
        <w:adjustRightInd w:val="0"/>
        <w:spacing w:line="360" w:lineRule="auto"/>
        <w:ind w:firstLine="640"/>
        <w:rPr>
          <w:rFonts w:eastAsia="仿宋_GB2312"/>
          <w:color w:val="000000"/>
          <w:kern w:val="0"/>
          <w:sz w:val="32"/>
          <w:szCs w:val="32"/>
          <w:highlight w:val="yellow"/>
        </w:rPr>
      </w:pPr>
      <w:r>
        <w:rPr>
          <w:rFonts w:eastAsia="仿宋_GB2312"/>
          <w:color w:val="000000"/>
          <w:kern w:val="0"/>
          <w:sz w:val="32"/>
          <w:szCs w:val="32"/>
        </w:rPr>
        <w:t>实施部门依据《北京市总工会办公室关于印发</w:t>
      </w:r>
      <w:r>
        <w:rPr>
          <w:rFonts w:hint="eastAsia" w:ascii="仿宋_GB2312" w:eastAsia="仿宋_GB2312"/>
          <w:color w:val="000000"/>
          <w:kern w:val="0"/>
          <w:sz w:val="32"/>
          <w:szCs w:val="32"/>
        </w:rPr>
        <w:t>〈</w:t>
      </w:r>
      <w:r>
        <w:rPr>
          <w:rFonts w:eastAsia="仿宋_GB2312"/>
          <w:color w:val="000000"/>
          <w:kern w:val="0"/>
          <w:sz w:val="32"/>
          <w:szCs w:val="32"/>
        </w:rPr>
        <w:t>北京市全国和市级劳模专项补助资金发放管理办法（试行）</w:t>
      </w:r>
      <w:r>
        <w:rPr>
          <w:rFonts w:hint="eastAsia" w:ascii="仿宋_GB2312" w:eastAsia="仿宋_GB2312"/>
          <w:color w:val="000000"/>
          <w:kern w:val="0"/>
          <w:sz w:val="32"/>
          <w:szCs w:val="32"/>
        </w:rPr>
        <w:t>〉</w:t>
      </w:r>
      <w:r>
        <w:rPr>
          <w:rFonts w:eastAsia="仿宋_GB2312"/>
          <w:color w:val="000000"/>
          <w:kern w:val="0"/>
          <w:sz w:val="32"/>
          <w:szCs w:val="32"/>
        </w:rPr>
        <w:t>的通知》（京工办发〔2017〕70号）等相关文件要求</w:t>
      </w:r>
      <w:r>
        <w:rPr>
          <w:rFonts w:hint="eastAsia" w:eastAsia="仿宋_GB2312"/>
          <w:color w:val="000000"/>
          <w:kern w:val="0"/>
          <w:sz w:val="32"/>
          <w:szCs w:val="32"/>
        </w:rPr>
        <w:t>进行资金使用管理</w:t>
      </w:r>
      <w:r>
        <w:rPr>
          <w:rFonts w:eastAsia="仿宋_GB2312"/>
          <w:color w:val="000000"/>
          <w:kern w:val="0"/>
          <w:sz w:val="32"/>
          <w:szCs w:val="32"/>
        </w:rPr>
        <w:t>，劳模在申请市级劳模专项补助资金时须填写相应表格，提供相应证明材料，经相应部门审核盖章后方可逐级申报；在资金使用过程中严把监督审核关，认真落实资金内部审批制度，保证了资金安全、科学、合理利用。</w:t>
      </w:r>
    </w:p>
    <w:p>
      <w:pPr>
        <w:adjustRightInd w:val="0"/>
        <w:spacing w:line="360" w:lineRule="auto"/>
        <w:ind w:firstLine="640"/>
        <w:rPr>
          <w:rFonts w:eastAsia="仿宋_GB2312"/>
          <w:color w:val="000000"/>
          <w:kern w:val="0"/>
          <w:sz w:val="32"/>
          <w:szCs w:val="32"/>
          <w:highlight w:val="yellow"/>
        </w:rPr>
      </w:pPr>
      <w:r>
        <w:rPr>
          <w:rFonts w:eastAsia="仿宋_GB2312"/>
          <w:color w:val="000000"/>
          <w:kern w:val="0"/>
          <w:sz w:val="32"/>
          <w:szCs w:val="32"/>
        </w:rPr>
        <w:t>评价分析认为：项目实施过程中，劳模工作部遵循相关财务制度等规定</w:t>
      </w:r>
      <w:r>
        <w:rPr>
          <w:rFonts w:hint="eastAsia" w:eastAsia="仿宋_GB2312"/>
          <w:color w:val="000000"/>
          <w:kern w:val="0"/>
          <w:sz w:val="32"/>
          <w:szCs w:val="32"/>
        </w:rPr>
        <w:t>实施</w:t>
      </w:r>
      <w:r>
        <w:rPr>
          <w:rFonts w:eastAsia="仿宋_GB2312"/>
          <w:color w:val="000000"/>
          <w:kern w:val="0"/>
          <w:sz w:val="32"/>
          <w:szCs w:val="32"/>
        </w:rPr>
        <w:t>，但项目资金保障机制依据不清晰。对于劳模的关爱帮扶资金需求，部分使用财政预算资金，部分使用工会经费，</w:t>
      </w:r>
      <w:r>
        <w:rPr>
          <w:rFonts w:hint="eastAsia" w:eastAsia="仿宋_GB2312"/>
          <w:color w:val="000000"/>
          <w:kern w:val="0"/>
          <w:sz w:val="32"/>
          <w:szCs w:val="32"/>
        </w:rPr>
        <w:t>未提供</w:t>
      </w:r>
      <w:r>
        <w:rPr>
          <w:rFonts w:eastAsia="仿宋_GB2312"/>
          <w:color w:val="000000"/>
          <w:kern w:val="0"/>
          <w:sz w:val="32"/>
          <w:szCs w:val="32"/>
        </w:rPr>
        <w:t>所依据的制度，也未作为项目的主要背景在申报文本和绩效报告中进行阐述。</w:t>
      </w:r>
    </w:p>
    <w:p>
      <w:pPr>
        <w:adjustRightInd w:val="0"/>
        <w:spacing w:line="360" w:lineRule="auto"/>
        <w:ind w:firstLine="640"/>
        <w:rPr>
          <w:rFonts w:eastAsia="仿宋_GB2312"/>
          <w:bCs/>
          <w:sz w:val="32"/>
          <w:szCs w:val="32"/>
        </w:rPr>
      </w:pPr>
      <w:r>
        <w:rPr>
          <w:rFonts w:eastAsia="仿宋_GB2312"/>
          <w:bCs/>
          <w:sz w:val="32"/>
          <w:szCs w:val="32"/>
        </w:rPr>
        <w:t>2.项目组织实施情况评价分析</w:t>
      </w:r>
    </w:p>
    <w:p>
      <w:pPr>
        <w:adjustRightInd w:val="0"/>
        <w:spacing w:line="360" w:lineRule="auto"/>
        <w:ind w:firstLine="640"/>
        <w:rPr>
          <w:rFonts w:eastAsia="仿宋_GB2312"/>
          <w:bCs/>
          <w:sz w:val="32"/>
          <w:szCs w:val="32"/>
        </w:rPr>
      </w:pPr>
      <w:r>
        <w:rPr>
          <w:rFonts w:eastAsia="仿宋_GB2312"/>
          <w:bCs/>
          <w:sz w:val="32"/>
          <w:szCs w:val="32"/>
        </w:rPr>
        <w:t>（1）项目组织实施程序</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劳模工作部按照年度工作计划及预算批复内容组织项目实施。春节慰问金、生活困难补助金、特殊困难帮扶金</w:t>
      </w:r>
      <w:r>
        <w:rPr>
          <w:rFonts w:hint="eastAsia" w:eastAsia="仿宋_GB2312"/>
          <w:color w:val="000000"/>
          <w:kern w:val="0"/>
          <w:sz w:val="32"/>
          <w:szCs w:val="32"/>
        </w:rPr>
        <w:t>按照要求及流程进行了发放</w:t>
      </w:r>
      <w:r>
        <w:rPr>
          <w:rFonts w:eastAsia="仿宋_GB2312"/>
          <w:color w:val="000000"/>
          <w:kern w:val="0"/>
          <w:sz w:val="32"/>
          <w:szCs w:val="32"/>
        </w:rPr>
        <w:t>。组织部分市级劳模参加</w:t>
      </w:r>
      <w:r>
        <w:rPr>
          <w:rFonts w:hint="eastAsia" w:eastAsia="仿宋_GB2312"/>
          <w:color w:val="000000"/>
          <w:kern w:val="0"/>
          <w:sz w:val="32"/>
          <w:szCs w:val="32"/>
        </w:rPr>
        <w:t>了</w:t>
      </w:r>
      <w:r>
        <w:rPr>
          <w:rFonts w:eastAsia="仿宋_GB2312"/>
          <w:color w:val="000000"/>
          <w:kern w:val="0"/>
          <w:sz w:val="32"/>
          <w:szCs w:val="32"/>
        </w:rPr>
        <w:t>健康体检，健康疗休养活动受疫情影响未开展。</w:t>
      </w:r>
    </w:p>
    <w:p>
      <w:pPr>
        <w:adjustRightInd w:val="0"/>
        <w:spacing w:line="360" w:lineRule="auto"/>
        <w:ind w:firstLine="640"/>
        <w:rPr>
          <w:rFonts w:eastAsia="仿宋_GB2312"/>
          <w:color w:val="000000"/>
          <w:kern w:val="0"/>
          <w:sz w:val="32"/>
          <w:szCs w:val="32"/>
        </w:rPr>
      </w:pPr>
      <w:r>
        <w:rPr>
          <w:rFonts w:hint="eastAsia" w:eastAsia="仿宋_GB2312"/>
          <w:color w:val="000000"/>
          <w:kern w:val="0"/>
          <w:sz w:val="32"/>
          <w:szCs w:val="32"/>
        </w:rPr>
        <w:t>劳模工作部按照项目实施需要组建了了实施小组，人员之间进行了分工，组织实施按照</w:t>
      </w:r>
      <w:r>
        <w:rPr>
          <w:rFonts w:eastAsia="仿宋_GB2312"/>
          <w:color w:val="000000"/>
          <w:kern w:val="0"/>
          <w:sz w:val="32"/>
          <w:szCs w:val="32"/>
        </w:rPr>
        <w:t>以下主要时间节点</w:t>
      </w:r>
      <w:r>
        <w:rPr>
          <w:rFonts w:hint="eastAsia" w:eastAsia="仿宋_GB2312"/>
          <w:color w:val="000000"/>
          <w:kern w:val="0"/>
          <w:sz w:val="32"/>
          <w:szCs w:val="32"/>
        </w:rPr>
        <w:t>开展</w:t>
      </w:r>
      <w:r>
        <w:rPr>
          <w:rFonts w:eastAsia="仿宋_GB2312"/>
          <w:color w:val="000000"/>
          <w:kern w:val="0"/>
          <w:sz w:val="32"/>
          <w:szCs w:val="32"/>
        </w:rPr>
        <w:t>：</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2020年11月30日</w:t>
      </w:r>
      <w:r>
        <w:rPr>
          <w:rFonts w:hint="eastAsia" w:eastAsia="仿宋_GB2312"/>
          <w:color w:val="000000"/>
          <w:kern w:val="0"/>
          <w:sz w:val="32"/>
          <w:szCs w:val="32"/>
        </w:rPr>
        <w:t>，</w:t>
      </w:r>
      <w:r>
        <w:rPr>
          <w:rFonts w:eastAsia="仿宋_GB2312"/>
          <w:color w:val="000000"/>
          <w:kern w:val="0"/>
          <w:sz w:val="32"/>
          <w:szCs w:val="32"/>
        </w:rPr>
        <w:t>发布《关于做好2021年全国劳模春节慰问金和市级劳模专项补助资金发放工作的通知》；</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2021年5月25日</w:t>
      </w:r>
      <w:r>
        <w:rPr>
          <w:rFonts w:hint="eastAsia" w:eastAsia="仿宋_GB2312"/>
          <w:color w:val="000000"/>
          <w:kern w:val="0"/>
          <w:sz w:val="32"/>
          <w:szCs w:val="32"/>
        </w:rPr>
        <w:t>，</w:t>
      </w:r>
      <w:r>
        <w:rPr>
          <w:rFonts w:eastAsia="仿宋_GB2312"/>
          <w:color w:val="000000"/>
          <w:kern w:val="0"/>
          <w:sz w:val="32"/>
          <w:szCs w:val="32"/>
        </w:rPr>
        <w:t>与首都医科大学附属北京康复医院签订劳动模范健康管理委托服务协议书；</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2021年5月25日</w:t>
      </w:r>
      <w:r>
        <w:rPr>
          <w:rFonts w:hint="eastAsia" w:eastAsia="仿宋_GB2312"/>
          <w:color w:val="000000"/>
          <w:kern w:val="0"/>
          <w:sz w:val="32"/>
          <w:szCs w:val="32"/>
        </w:rPr>
        <w:t>，</w:t>
      </w:r>
      <w:r>
        <w:rPr>
          <w:rFonts w:eastAsia="仿宋_GB2312"/>
          <w:color w:val="000000"/>
          <w:kern w:val="0"/>
          <w:sz w:val="32"/>
          <w:szCs w:val="32"/>
        </w:rPr>
        <w:t>发布《关于做好2021年劳模体检工作的通知》；</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2021年12月31日，项目终验。</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评价分析认为：</w:t>
      </w:r>
      <w:r>
        <w:rPr>
          <w:rFonts w:hint="eastAsia" w:eastAsia="仿宋_GB2312"/>
          <w:color w:val="000000"/>
          <w:kern w:val="0"/>
          <w:sz w:val="32"/>
          <w:szCs w:val="32"/>
          <w:lang w:eastAsia="zh-Hans"/>
        </w:rPr>
        <w:t>未见</w:t>
      </w:r>
      <w:r>
        <w:rPr>
          <w:rFonts w:eastAsia="仿宋_GB2312"/>
          <w:color w:val="000000"/>
          <w:kern w:val="0"/>
          <w:sz w:val="32"/>
          <w:szCs w:val="32"/>
        </w:rPr>
        <w:t>该项目</w:t>
      </w:r>
      <w:r>
        <w:rPr>
          <w:rFonts w:hint="eastAsia" w:eastAsia="仿宋_GB2312"/>
          <w:color w:val="000000"/>
          <w:kern w:val="0"/>
          <w:sz w:val="32"/>
          <w:szCs w:val="32"/>
          <w:lang w:eastAsia="zh-Hans"/>
        </w:rPr>
        <w:t>的</w:t>
      </w:r>
      <w:r>
        <w:rPr>
          <w:rFonts w:eastAsia="仿宋_GB2312"/>
          <w:color w:val="000000"/>
          <w:kern w:val="0"/>
          <w:sz w:val="32"/>
          <w:szCs w:val="32"/>
        </w:rPr>
        <w:t>实施方案</w:t>
      </w:r>
      <w:r>
        <w:rPr>
          <w:rFonts w:hint="eastAsia" w:eastAsia="仿宋_GB2312"/>
          <w:color w:val="000000"/>
          <w:kern w:val="0"/>
          <w:sz w:val="32"/>
          <w:szCs w:val="32"/>
          <w:lang w:eastAsia="zh-Hans"/>
        </w:rPr>
        <w:t>，</w:t>
      </w:r>
      <w:r>
        <w:rPr>
          <w:rFonts w:eastAsia="仿宋_GB2312"/>
          <w:color w:val="000000"/>
          <w:kern w:val="0"/>
          <w:sz w:val="32"/>
          <w:szCs w:val="32"/>
        </w:rPr>
        <w:t>动态管理不够规范，未见劳模管理库动态更新资料。根据相关管理办法，每年要采取实地走访、电话询访等形式，抽取一定比例的受助对象进行核查，但未见核查资料。</w:t>
      </w:r>
    </w:p>
    <w:p>
      <w:pPr>
        <w:adjustRightInd w:val="0"/>
        <w:spacing w:line="360" w:lineRule="auto"/>
        <w:ind w:firstLine="640"/>
        <w:rPr>
          <w:rFonts w:eastAsia="仿宋_GB2312"/>
          <w:bCs/>
          <w:sz w:val="32"/>
          <w:szCs w:val="32"/>
        </w:rPr>
      </w:pPr>
      <w:r>
        <w:rPr>
          <w:rFonts w:eastAsia="仿宋_GB2312"/>
          <w:bCs/>
          <w:sz w:val="32"/>
          <w:szCs w:val="32"/>
        </w:rPr>
        <w:t>（2）项目管理制度执行情况</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为做好项目管理工作，实施部门按照相关法律法规</w:t>
      </w:r>
      <w:r>
        <w:rPr>
          <w:rFonts w:hint="eastAsia" w:eastAsia="仿宋_GB2312"/>
          <w:color w:val="000000"/>
          <w:kern w:val="0"/>
          <w:sz w:val="32"/>
          <w:szCs w:val="32"/>
        </w:rPr>
        <w:t>以及</w:t>
      </w:r>
      <w:r>
        <w:rPr>
          <w:rFonts w:eastAsia="仿宋_GB2312"/>
          <w:color w:val="000000"/>
          <w:kern w:val="0"/>
          <w:sz w:val="32"/>
          <w:szCs w:val="32"/>
        </w:rPr>
        <w:t>《北京市总工会办公室关于印发</w:t>
      </w:r>
      <w:r>
        <w:rPr>
          <w:rFonts w:hint="eastAsia" w:ascii="仿宋_GB2312" w:eastAsia="仿宋_GB2312"/>
          <w:color w:val="000000"/>
          <w:kern w:val="0"/>
          <w:sz w:val="32"/>
          <w:szCs w:val="32"/>
        </w:rPr>
        <w:t>〈</w:t>
      </w:r>
      <w:r>
        <w:rPr>
          <w:rFonts w:eastAsia="仿宋_GB2312"/>
          <w:color w:val="000000"/>
          <w:kern w:val="0"/>
          <w:sz w:val="32"/>
          <w:szCs w:val="32"/>
        </w:rPr>
        <w:t>北京市全国和市级劳模专项补助资金发放管理办法（试行）</w:t>
      </w:r>
      <w:r>
        <w:rPr>
          <w:rFonts w:hint="eastAsia" w:ascii="仿宋_GB2312" w:eastAsia="仿宋_GB2312"/>
          <w:color w:val="000000"/>
          <w:kern w:val="0"/>
          <w:sz w:val="32"/>
          <w:szCs w:val="32"/>
        </w:rPr>
        <w:t>〉</w:t>
      </w:r>
      <w:r>
        <w:rPr>
          <w:rFonts w:eastAsia="仿宋_GB2312"/>
          <w:color w:val="000000"/>
          <w:kern w:val="0"/>
          <w:sz w:val="32"/>
          <w:szCs w:val="32"/>
        </w:rPr>
        <w:t>的通知》（京工办发〔2017〕70号）、北京市总工会印发《关于进一步加强劳模队伍建设的实施方案》的通知（京工发〔2015〕1号）等制度执行，严格按照财政要求落实资金使用方向、标准、决策程序等，补助资金按照专项管理、专款专用的原则，实行逐级申报、分级负责、“一卡化”发放。</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按照工会组织体系，下发工作通知与资金发放管理办法，明确市级劳模专项补助包含</w:t>
      </w:r>
      <w:r>
        <w:rPr>
          <w:rFonts w:hint="eastAsia" w:eastAsia="仿宋_GB2312"/>
          <w:color w:val="000000"/>
          <w:kern w:val="0"/>
          <w:sz w:val="32"/>
          <w:szCs w:val="32"/>
        </w:rPr>
        <w:t>补助</w:t>
      </w:r>
      <w:r>
        <w:rPr>
          <w:rFonts w:eastAsia="仿宋_GB2312"/>
          <w:color w:val="000000"/>
          <w:kern w:val="0"/>
          <w:sz w:val="32"/>
          <w:szCs w:val="32"/>
        </w:rPr>
        <w:t>项目、适宜对象、申报条件、发放标准、资金来源、申报材料、发放方式等信息，由市级劳模本人或劳模所在单位根据实际情况如实填写表格、针对所申请的补助资金提供相应证明材料，经组织、人事、劳资等相关部门审核把关后按照工会组织体系逐级审核申报，最终由市总工会劳模</w:t>
      </w:r>
      <w:r>
        <w:rPr>
          <w:rFonts w:hint="eastAsia" w:eastAsia="仿宋_GB2312"/>
          <w:color w:val="000000"/>
          <w:kern w:val="0"/>
          <w:sz w:val="32"/>
          <w:szCs w:val="32"/>
          <w:lang w:eastAsia="zh-Hans"/>
        </w:rPr>
        <w:t>工作部</w:t>
      </w:r>
      <w:r>
        <w:rPr>
          <w:rFonts w:eastAsia="仿宋_GB2312"/>
          <w:color w:val="000000"/>
          <w:kern w:val="0"/>
          <w:sz w:val="32"/>
          <w:szCs w:val="32"/>
        </w:rPr>
        <w:t>进行汇总、复核、资金测算、制定发放方案，报市总</w:t>
      </w:r>
      <w:r>
        <w:rPr>
          <w:rFonts w:hint="eastAsia" w:eastAsia="仿宋_GB2312"/>
          <w:color w:val="000000"/>
          <w:kern w:val="0"/>
          <w:sz w:val="32"/>
          <w:szCs w:val="32"/>
        </w:rPr>
        <w:t>工会</w:t>
      </w:r>
      <w:r>
        <w:rPr>
          <w:rFonts w:eastAsia="仿宋_GB2312"/>
          <w:color w:val="000000"/>
          <w:kern w:val="0"/>
          <w:sz w:val="32"/>
          <w:szCs w:val="32"/>
        </w:rPr>
        <w:t>党组会进行审议，审议通过后提交至市总</w:t>
      </w:r>
      <w:r>
        <w:rPr>
          <w:rFonts w:hint="eastAsia" w:eastAsia="仿宋_GB2312"/>
          <w:color w:val="000000"/>
          <w:kern w:val="0"/>
          <w:sz w:val="32"/>
          <w:szCs w:val="32"/>
        </w:rPr>
        <w:t>工会</w:t>
      </w:r>
      <w:r>
        <w:rPr>
          <w:rFonts w:eastAsia="仿宋_GB2312"/>
          <w:color w:val="000000"/>
          <w:kern w:val="0"/>
          <w:sz w:val="32"/>
          <w:szCs w:val="32"/>
        </w:rPr>
        <w:t>财</w:t>
      </w:r>
      <w:r>
        <w:rPr>
          <w:rFonts w:hint="eastAsia" w:eastAsia="仿宋_GB2312"/>
          <w:color w:val="000000"/>
          <w:kern w:val="0"/>
          <w:sz w:val="32"/>
          <w:szCs w:val="32"/>
        </w:rPr>
        <w:t>资部</w:t>
      </w:r>
      <w:r>
        <w:rPr>
          <w:rFonts w:eastAsia="仿宋_GB2312"/>
          <w:color w:val="000000"/>
          <w:kern w:val="0"/>
          <w:sz w:val="32"/>
          <w:szCs w:val="32"/>
        </w:rPr>
        <w:t>进行划账，其中2021年特殊困难帮扶金、生活困难补助金由市总</w:t>
      </w:r>
      <w:r>
        <w:rPr>
          <w:rFonts w:hint="eastAsia" w:eastAsia="仿宋_GB2312"/>
          <w:color w:val="000000"/>
          <w:kern w:val="0"/>
          <w:sz w:val="32"/>
          <w:szCs w:val="32"/>
        </w:rPr>
        <w:t>工会</w:t>
      </w:r>
      <w:r>
        <w:rPr>
          <w:rFonts w:eastAsia="仿宋_GB2312"/>
          <w:color w:val="000000"/>
          <w:kern w:val="0"/>
          <w:sz w:val="32"/>
          <w:szCs w:val="32"/>
        </w:rPr>
        <w:t>财</w:t>
      </w:r>
      <w:r>
        <w:rPr>
          <w:rFonts w:hint="eastAsia" w:eastAsia="仿宋_GB2312"/>
          <w:color w:val="000000"/>
          <w:kern w:val="0"/>
          <w:sz w:val="32"/>
          <w:szCs w:val="32"/>
        </w:rPr>
        <w:t>资部</w:t>
      </w:r>
      <w:r>
        <w:rPr>
          <w:rFonts w:eastAsia="仿宋_GB2312"/>
          <w:color w:val="000000"/>
          <w:kern w:val="0"/>
          <w:sz w:val="32"/>
          <w:szCs w:val="32"/>
        </w:rPr>
        <w:t>直接划拨至劳模本人银行账户或劳模所在单位银行账户，春节慰问金划拨至劳模所在单位工会账户，健康体检资金与疗休养资金由市总</w:t>
      </w:r>
      <w:r>
        <w:rPr>
          <w:rFonts w:hint="eastAsia" w:eastAsia="仿宋_GB2312"/>
          <w:color w:val="000000"/>
          <w:kern w:val="0"/>
          <w:sz w:val="32"/>
          <w:szCs w:val="32"/>
        </w:rPr>
        <w:t>工会</w:t>
      </w:r>
      <w:r>
        <w:rPr>
          <w:rFonts w:eastAsia="仿宋_GB2312"/>
          <w:color w:val="000000"/>
          <w:kern w:val="0"/>
          <w:sz w:val="32"/>
          <w:szCs w:val="32"/>
        </w:rPr>
        <w:t>财</w:t>
      </w:r>
      <w:r>
        <w:rPr>
          <w:rFonts w:hint="eastAsia" w:eastAsia="仿宋_GB2312"/>
          <w:color w:val="000000"/>
          <w:kern w:val="0"/>
          <w:sz w:val="32"/>
          <w:szCs w:val="32"/>
        </w:rPr>
        <w:t>资部</w:t>
      </w:r>
      <w:r>
        <w:rPr>
          <w:rFonts w:eastAsia="仿宋_GB2312"/>
          <w:color w:val="000000"/>
          <w:kern w:val="0"/>
          <w:sz w:val="32"/>
          <w:szCs w:val="32"/>
        </w:rPr>
        <w:t>直接划拨至承办单位银行账户。在资金使用过程中，如遇需要调整的情况，做到了及时向财政部门请示，待批复后方可调整。</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评价分析认为：</w:t>
      </w:r>
      <w:r>
        <w:rPr>
          <w:rFonts w:hint="eastAsia" w:eastAsia="仿宋_GB2312"/>
          <w:color w:val="000000"/>
          <w:kern w:val="0"/>
          <w:sz w:val="32"/>
          <w:szCs w:val="32"/>
        </w:rPr>
        <w:t>该</w:t>
      </w:r>
      <w:r>
        <w:rPr>
          <w:rFonts w:eastAsia="仿宋_GB2312"/>
          <w:color w:val="000000"/>
          <w:kern w:val="0"/>
          <w:sz w:val="32"/>
          <w:szCs w:val="32"/>
        </w:rPr>
        <w:t>项目过程管理严谨性</w:t>
      </w:r>
      <w:r>
        <w:rPr>
          <w:rFonts w:hint="eastAsia" w:eastAsia="仿宋_GB2312"/>
          <w:color w:val="000000"/>
          <w:kern w:val="0"/>
          <w:sz w:val="32"/>
          <w:szCs w:val="32"/>
        </w:rPr>
        <w:t>不足，劳模登记信息系统更新不及时</w:t>
      </w:r>
      <w:r>
        <w:rPr>
          <w:rFonts w:hint="eastAsia" w:eastAsia="仿宋_GB2312"/>
          <w:color w:val="000000"/>
          <w:kern w:val="0"/>
          <w:sz w:val="32"/>
          <w:szCs w:val="32"/>
          <w:lang w:eastAsia="zh-Hans"/>
        </w:rPr>
        <w:t>，存在两笔退回劳模的慰问金情况。</w:t>
      </w:r>
      <w:r>
        <w:rPr>
          <w:rFonts w:hint="eastAsia" w:eastAsia="仿宋_GB2312"/>
          <w:color w:val="000000"/>
          <w:kern w:val="0"/>
          <w:sz w:val="32"/>
          <w:szCs w:val="32"/>
        </w:rPr>
        <w:t>管理过程</w:t>
      </w:r>
      <w:r>
        <w:rPr>
          <w:rFonts w:eastAsia="仿宋_GB2312"/>
          <w:color w:val="000000"/>
          <w:kern w:val="0"/>
          <w:sz w:val="32"/>
          <w:szCs w:val="32"/>
        </w:rPr>
        <w:t>资料不完整</w:t>
      </w:r>
      <w:r>
        <w:rPr>
          <w:rFonts w:hint="eastAsia" w:eastAsia="仿宋_GB2312"/>
          <w:color w:val="000000"/>
          <w:kern w:val="0"/>
          <w:sz w:val="32"/>
          <w:szCs w:val="32"/>
          <w:lang w:eastAsia="zh-Hans"/>
        </w:rPr>
        <w:t>，</w:t>
      </w:r>
      <w:r>
        <w:rPr>
          <w:rFonts w:eastAsia="仿宋_GB2312"/>
          <w:color w:val="000000"/>
          <w:kern w:val="0"/>
          <w:sz w:val="32"/>
          <w:szCs w:val="32"/>
        </w:rPr>
        <w:t>体检服务机构选择的方式未见说明，服务优化措施不明显</w:t>
      </w:r>
      <w:r>
        <w:rPr>
          <w:rFonts w:hint="eastAsia" w:eastAsia="仿宋_GB2312"/>
          <w:color w:val="000000"/>
          <w:kern w:val="0"/>
          <w:sz w:val="32"/>
          <w:szCs w:val="32"/>
        </w:rPr>
        <w:t>，</w:t>
      </w:r>
      <w:r>
        <w:rPr>
          <w:rFonts w:eastAsia="仿宋_GB2312"/>
          <w:color w:val="000000"/>
          <w:kern w:val="0"/>
          <w:sz w:val="32"/>
          <w:szCs w:val="32"/>
        </w:rPr>
        <w:t>市级劳模体检的两种套餐执行标准差异较大，交给劳模单位自行选择，采取与劳模工作单位分摊成本的方式，不利于政府劳模补助政策落实的公平性。</w:t>
      </w:r>
      <w:bookmarkEnd w:id="38"/>
    </w:p>
    <w:p>
      <w:pPr>
        <w:adjustRightInd w:val="0"/>
        <w:spacing w:line="360" w:lineRule="auto"/>
        <w:ind w:firstLine="643"/>
        <w:outlineLvl w:val="1"/>
        <w:rPr>
          <w:rFonts w:eastAsia="楷体_GB2312"/>
          <w:b/>
          <w:sz w:val="32"/>
        </w:rPr>
      </w:pPr>
      <w:bookmarkStart w:id="43" w:name="_Toc13763"/>
      <w:bookmarkStart w:id="44" w:name="_Toc9093"/>
      <w:bookmarkStart w:id="45" w:name="_Toc25021723"/>
      <w:bookmarkStart w:id="46" w:name="_Toc1598"/>
      <w:r>
        <w:rPr>
          <w:rFonts w:eastAsia="楷体_GB2312"/>
          <w:b/>
          <w:sz w:val="32"/>
        </w:rPr>
        <w:t>（三）项目产出情况评价分析</w:t>
      </w:r>
      <w:bookmarkEnd w:id="43"/>
      <w:bookmarkEnd w:id="44"/>
      <w:bookmarkEnd w:id="45"/>
      <w:bookmarkEnd w:id="46"/>
    </w:p>
    <w:p>
      <w:pPr>
        <w:keepNext w:val="0"/>
        <w:keepLines w:val="0"/>
        <w:pageBreakBefore w:val="0"/>
        <w:widowControl w:val="0"/>
        <w:kinsoku/>
        <w:wordWrap/>
        <w:overflowPunct/>
        <w:topLinePunct w:val="0"/>
        <w:autoSpaceDE/>
        <w:bidi w:val="0"/>
        <w:adjustRightInd w:val="0"/>
        <w:snapToGrid/>
        <w:spacing w:line="360" w:lineRule="auto"/>
        <w:ind w:left="0" w:leftChars="0" w:right="0" w:rightChars="0" w:firstLine="640"/>
        <w:textAlignment w:val="auto"/>
        <w:outlineLvl w:val="9"/>
        <w:rPr>
          <w:rFonts w:eastAsia="仿宋_GB2312"/>
          <w:bCs/>
          <w:sz w:val="32"/>
          <w:szCs w:val="32"/>
        </w:rPr>
      </w:pPr>
      <w:r>
        <w:rPr>
          <w:rFonts w:eastAsia="仿宋_GB2312"/>
          <w:bCs/>
          <w:sz w:val="32"/>
          <w:szCs w:val="32"/>
        </w:rPr>
        <w:t>1.项目预期目标完成情况</w:t>
      </w:r>
    </w:p>
    <w:p>
      <w:pPr>
        <w:keepNext w:val="0"/>
        <w:keepLines w:val="0"/>
        <w:pageBreakBefore w:val="0"/>
        <w:widowControl w:val="0"/>
        <w:kinsoku/>
        <w:wordWrap/>
        <w:overflowPunct/>
        <w:topLinePunct w:val="0"/>
        <w:autoSpaceDE/>
        <w:bidi w:val="0"/>
        <w:adjustRightInd w:val="0"/>
        <w:snapToGrid/>
        <w:spacing w:line="360" w:lineRule="auto"/>
        <w:ind w:left="0" w:leftChars="0" w:right="0" w:rightChars="0" w:firstLine="640"/>
        <w:textAlignment w:val="auto"/>
        <w:outlineLvl w:val="9"/>
        <w:rPr>
          <w:bCs/>
          <w:sz w:val="32"/>
          <w:szCs w:val="32"/>
        </w:rPr>
      </w:pPr>
      <w:r>
        <w:rPr>
          <w:rFonts w:eastAsia="仿宋_GB2312"/>
          <w:bCs/>
          <w:sz w:val="32"/>
          <w:szCs w:val="32"/>
        </w:rPr>
        <w:t>2021年劳模工作部计划发放春节慰问金13150人，发放生活困难补助金620人，发放特殊困难帮扶金1250人，组织健康疗休养1280人，组织健康体检2530人。</w:t>
      </w:r>
      <w:r>
        <w:rPr>
          <w:rFonts w:hint="eastAsia" w:eastAsia="仿宋_GB2312"/>
          <w:bCs/>
          <w:sz w:val="32"/>
          <w:szCs w:val="32"/>
          <w:lang w:eastAsia="zh-Hans"/>
        </w:rPr>
        <w:t>实际</w:t>
      </w:r>
      <w:r>
        <w:rPr>
          <w:rFonts w:eastAsia="仿宋_GB2312"/>
          <w:bCs/>
          <w:sz w:val="32"/>
          <w:szCs w:val="32"/>
        </w:rPr>
        <w:t>发放春节慰问金12235</w:t>
      </w:r>
      <w:r>
        <w:rPr>
          <w:rFonts w:hint="eastAsia" w:eastAsia="仿宋_GB2312"/>
          <w:bCs/>
          <w:sz w:val="32"/>
          <w:szCs w:val="32"/>
          <w:lang w:eastAsia="zh-Hans"/>
        </w:rPr>
        <w:t>人，</w:t>
      </w:r>
      <w:r>
        <w:rPr>
          <w:rFonts w:eastAsia="仿宋_GB2312"/>
          <w:bCs/>
          <w:sz w:val="32"/>
          <w:szCs w:val="32"/>
        </w:rPr>
        <w:t>发放生活困难补助金522人，发放特殊困难帮扶金1172人，组织健康体检2533人。</w:t>
      </w:r>
    </w:p>
    <w:p>
      <w:pPr>
        <w:pStyle w:val="23"/>
        <w:keepNext w:val="0"/>
        <w:keepLines w:val="0"/>
        <w:pageBreakBefore w:val="0"/>
        <w:widowControl w:val="0"/>
        <w:kinsoku/>
        <w:wordWrap/>
        <w:overflowPunct/>
        <w:topLinePunct w:val="0"/>
        <w:autoSpaceDE/>
        <w:autoSpaceDN w:val="0"/>
        <w:bidi w:val="0"/>
        <w:snapToGrid/>
        <w:spacing w:line="360" w:lineRule="auto"/>
        <w:ind w:left="0" w:leftChars="0" w:right="0" w:rightChars="0" w:firstLine="640" w:firstLineChars="200"/>
        <w:jc w:val="left"/>
        <w:textAlignment w:val="auto"/>
        <w:outlineLvl w:val="9"/>
        <w:rPr>
          <w:rFonts w:ascii="Times New Roman" w:hAnsi="Times New Roman"/>
          <w:bCs/>
          <w:sz w:val="32"/>
          <w:szCs w:val="32"/>
          <w:lang w:eastAsia="zh-CN"/>
        </w:rPr>
      </w:pPr>
      <w:r>
        <w:rPr>
          <w:rFonts w:ascii="Times New Roman" w:hAnsi="Times New Roman"/>
          <w:bCs/>
          <w:sz w:val="32"/>
          <w:szCs w:val="32"/>
          <w:lang w:eastAsia="zh-CN"/>
        </w:rPr>
        <w:t>评价分析认为：</w:t>
      </w:r>
      <w:r>
        <w:rPr>
          <w:rFonts w:hint="eastAsia" w:ascii="Times New Roman" w:hAnsi="Times New Roman"/>
          <w:bCs/>
          <w:sz w:val="32"/>
          <w:szCs w:val="32"/>
          <w:lang w:eastAsia="zh-CN"/>
        </w:rPr>
        <w:t>实施部门</w:t>
      </w:r>
      <w:r>
        <w:rPr>
          <w:rFonts w:hint="eastAsia" w:ascii="Times New Roman" w:hAnsi="Times New Roman"/>
          <w:bCs/>
          <w:sz w:val="32"/>
          <w:szCs w:val="32"/>
          <w:lang w:eastAsia="zh-Hans"/>
        </w:rPr>
        <w:t>基本</w:t>
      </w:r>
      <w:r>
        <w:rPr>
          <w:rFonts w:ascii="Times New Roman" w:hAnsi="Times New Roman"/>
          <w:bCs/>
          <w:sz w:val="32"/>
          <w:szCs w:val="32"/>
          <w:lang w:eastAsia="zh-CN"/>
        </w:rPr>
        <w:t>完成了预算申报的工作内容，</w:t>
      </w:r>
      <w:r>
        <w:rPr>
          <w:rFonts w:hint="eastAsia" w:ascii="Times New Roman" w:hAnsi="Times New Roman"/>
          <w:bCs/>
          <w:sz w:val="32"/>
          <w:szCs w:val="32"/>
          <w:lang w:eastAsia="zh-CN"/>
        </w:rPr>
        <w:t>但</w:t>
      </w:r>
      <w:r>
        <w:rPr>
          <w:rFonts w:ascii="Times New Roman" w:hAnsi="Times New Roman"/>
          <w:bCs/>
          <w:sz w:val="32"/>
          <w:szCs w:val="32"/>
          <w:lang w:eastAsia="zh-CN"/>
        </w:rPr>
        <w:t>由于疫情原因，健康疗休养</w:t>
      </w:r>
      <w:r>
        <w:rPr>
          <w:rFonts w:hint="eastAsia" w:ascii="Times New Roman" w:hAnsi="Times New Roman"/>
          <w:bCs/>
          <w:sz w:val="32"/>
          <w:szCs w:val="32"/>
          <w:lang w:eastAsia="zh-Hans"/>
        </w:rPr>
        <w:t>工作</w:t>
      </w:r>
      <w:r>
        <w:rPr>
          <w:rFonts w:ascii="Times New Roman" w:hAnsi="Times New Roman"/>
          <w:bCs/>
          <w:sz w:val="32"/>
          <w:szCs w:val="32"/>
          <w:lang w:eastAsia="zh-CN"/>
        </w:rPr>
        <w:t>未开展</w:t>
      </w:r>
      <w:r>
        <w:rPr>
          <w:rFonts w:hint="eastAsia" w:ascii="Times New Roman" w:hAnsi="Times New Roman"/>
          <w:bCs/>
          <w:sz w:val="32"/>
          <w:szCs w:val="32"/>
          <w:lang w:eastAsia="zh-Hans"/>
        </w:rPr>
        <w:t>。</w:t>
      </w:r>
      <w:r>
        <w:rPr>
          <w:rFonts w:ascii="Times New Roman" w:hAnsi="Times New Roman"/>
          <w:bCs/>
          <w:sz w:val="32"/>
          <w:szCs w:val="32"/>
          <w:lang w:eastAsia="zh-CN"/>
        </w:rPr>
        <w:t>缺少项目从决策、管理到绩效资料的完整归集，反映绩效目标完成情况的证据资料不足，不利于项目绩效目标设定</w:t>
      </w:r>
      <w:r>
        <w:rPr>
          <w:rFonts w:ascii="Times New Roman" w:hAnsi="Times New Roman"/>
          <w:bCs/>
          <w:sz w:val="32"/>
          <w:szCs w:val="32"/>
          <w:lang w:eastAsia="zh-Hans"/>
        </w:rPr>
        <w:t>和</w:t>
      </w:r>
      <w:r>
        <w:rPr>
          <w:rFonts w:ascii="Times New Roman" w:hAnsi="Times New Roman"/>
          <w:bCs/>
          <w:sz w:val="32"/>
          <w:szCs w:val="32"/>
          <w:lang w:eastAsia="zh-CN"/>
        </w:rPr>
        <w:t>项目管理效率。</w:t>
      </w:r>
    </w:p>
    <w:p>
      <w:pPr>
        <w:adjustRightInd w:val="0"/>
        <w:spacing w:line="360" w:lineRule="auto"/>
        <w:ind w:firstLine="640"/>
        <w:rPr>
          <w:rFonts w:eastAsia="仿宋_GB2312"/>
          <w:bCs/>
          <w:sz w:val="32"/>
          <w:szCs w:val="32"/>
        </w:rPr>
      </w:pPr>
      <w:r>
        <w:rPr>
          <w:rFonts w:eastAsia="仿宋_GB2312"/>
          <w:bCs/>
          <w:sz w:val="32"/>
          <w:szCs w:val="32"/>
        </w:rPr>
        <w:t>2.项目经济性分析</w:t>
      </w:r>
    </w:p>
    <w:p>
      <w:pPr>
        <w:adjustRightInd w:val="0"/>
        <w:spacing w:line="360" w:lineRule="auto"/>
        <w:ind w:firstLine="640"/>
        <w:rPr>
          <w:rFonts w:eastAsia="仿宋_GB2312"/>
          <w:color w:val="000000"/>
          <w:kern w:val="0"/>
          <w:sz w:val="32"/>
          <w:szCs w:val="32"/>
        </w:rPr>
      </w:pPr>
      <w:bookmarkStart w:id="47" w:name="_Toc15382"/>
      <w:r>
        <w:rPr>
          <w:rFonts w:eastAsia="仿宋_GB2312"/>
          <w:color w:val="000000"/>
          <w:kern w:val="0"/>
          <w:sz w:val="32"/>
          <w:szCs w:val="32"/>
        </w:rPr>
        <w:t>该项目2021年</w:t>
      </w:r>
      <w:r>
        <w:rPr>
          <w:rFonts w:hint="eastAsia" w:eastAsia="仿宋_GB2312"/>
          <w:color w:val="000000"/>
          <w:kern w:val="0"/>
          <w:sz w:val="32"/>
          <w:szCs w:val="32"/>
        </w:rPr>
        <w:t>批复</w:t>
      </w:r>
      <w:r>
        <w:rPr>
          <w:rFonts w:eastAsia="仿宋_GB2312"/>
          <w:color w:val="000000"/>
          <w:kern w:val="0"/>
          <w:sz w:val="32"/>
          <w:szCs w:val="32"/>
        </w:rPr>
        <w:t>预算资金3,092.495万元，财政资金到位3,092.495万元，</w:t>
      </w:r>
      <w:r>
        <w:rPr>
          <w:rFonts w:hint="eastAsia" w:eastAsia="仿宋_GB2312"/>
          <w:color w:val="000000"/>
          <w:kern w:val="0"/>
          <w:sz w:val="32"/>
          <w:szCs w:val="32"/>
        </w:rPr>
        <w:t>实际</w:t>
      </w:r>
      <w:r>
        <w:rPr>
          <w:rFonts w:eastAsia="仿宋_GB2312"/>
          <w:color w:val="000000"/>
          <w:kern w:val="0"/>
          <w:sz w:val="32"/>
          <w:szCs w:val="32"/>
        </w:rPr>
        <w:t>支出资金2,580.37万元</w:t>
      </w:r>
      <w:r>
        <w:rPr>
          <w:rFonts w:hint="eastAsia" w:eastAsia="仿宋_GB2312"/>
          <w:color w:val="000000"/>
          <w:kern w:val="0"/>
          <w:sz w:val="32"/>
          <w:szCs w:val="32"/>
          <w:lang w:eastAsia="zh-Hans"/>
        </w:rPr>
        <w:t>，</w:t>
      </w:r>
      <w:r>
        <w:rPr>
          <w:rFonts w:eastAsia="仿宋_GB2312"/>
          <w:color w:val="000000"/>
          <w:kern w:val="0"/>
          <w:sz w:val="32"/>
          <w:szCs w:val="32"/>
        </w:rPr>
        <w:t>预算执行率为83.44%。</w:t>
      </w:r>
    </w:p>
    <w:p>
      <w:pPr>
        <w:adjustRightInd w:val="0"/>
        <w:spacing w:line="360" w:lineRule="auto"/>
        <w:ind w:firstLine="640"/>
        <w:rPr>
          <w:rFonts w:eastAsia="仿宋_GB2312"/>
          <w:bCs/>
          <w:sz w:val="32"/>
          <w:szCs w:val="32"/>
        </w:rPr>
      </w:pPr>
      <w:r>
        <w:rPr>
          <w:rFonts w:eastAsia="仿宋_GB2312"/>
          <w:bCs/>
          <w:sz w:val="32"/>
          <w:szCs w:val="32"/>
        </w:rPr>
        <w:t>评价分析认为：由于疫情原因健康疗休养项目未开展，</w:t>
      </w:r>
      <w:r>
        <w:rPr>
          <w:rFonts w:hint="eastAsia" w:eastAsia="仿宋_GB2312"/>
          <w:bCs/>
          <w:sz w:val="32"/>
          <w:szCs w:val="32"/>
        </w:rPr>
        <w:t>此部分</w:t>
      </w:r>
      <w:r>
        <w:rPr>
          <w:rFonts w:eastAsia="仿宋_GB2312"/>
          <w:bCs/>
          <w:sz w:val="32"/>
          <w:szCs w:val="32"/>
        </w:rPr>
        <w:t>资金退回</w:t>
      </w:r>
      <w:r>
        <w:rPr>
          <w:rFonts w:hint="eastAsia" w:eastAsia="仿宋_GB2312"/>
          <w:bCs/>
          <w:sz w:val="32"/>
          <w:szCs w:val="32"/>
        </w:rPr>
        <w:t>北京市财政局，</w:t>
      </w:r>
      <w:r>
        <w:rPr>
          <w:rFonts w:eastAsia="仿宋_GB2312"/>
          <w:bCs/>
          <w:sz w:val="32"/>
          <w:szCs w:val="32"/>
        </w:rPr>
        <w:t>资金使用的经济性有待提高，项目成本控制措施有待加强。</w:t>
      </w:r>
    </w:p>
    <w:p>
      <w:pPr>
        <w:adjustRightInd w:val="0"/>
        <w:spacing w:line="360" w:lineRule="auto"/>
        <w:ind w:firstLine="640"/>
        <w:rPr>
          <w:rFonts w:eastAsia="仿宋_GB2312"/>
          <w:bCs/>
          <w:sz w:val="32"/>
          <w:szCs w:val="32"/>
        </w:rPr>
      </w:pPr>
      <w:r>
        <w:rPr>
          <w:rFonts w:eastAsia="仿宋_GB2312"/>
          <w:bCs/>
          <w:sz w:val="32"/>
          <w:szCs w:val="32"/>
        </w:rPr>
        <w:t>3.项目效率性分析</w:t>
      </w:r>
    </w:p>
    <w:p>
      <w:pPr>
        <w:adjustRightInd w:val="0"/>
        <w:spacing w:line="360" w:lineRule="auto"/>
        <w:ind w:firstLine="640"/>
        <w:rPr>
          <w:rFonts w:eastAsia="仿宋_GB2312"/>
          <w:bCs/>
          <w:sz w:val="32"/>
          <w:szCs w:val="32"/>
        </w:rPr>
      </w:pPr>
      <w:r>
        <w:rPr>
          <w:rFonts w:eastAsia="仿宋_GB2312"/>
          <w:bCs/>
          <w:sz w:val="32"/>
          <w:szCs w:val="32"/>
        </w:rPr>
        <w:t>截至2021年12月底，劳模工作部按</w:t>
      </w:r>
      <w:r>
        <w:rPr>
          <w:rFonts w:hint="eastAsia" w:eastAsia="仿宋_GB2312"/>
          <w:bCs/>
          <w:sz w:val="32"/>
          <w:szCs w:val="32"/>
        </w:rPr>
        <w:t>相关进度安排完成</w:t>
      </w:r>
      <w:r>
        <w:rPr>
          <w:rFonts w:eastAsia="仿宋_GB2312"/>
          <w:bCs/>
          <w:sz w:val="32"/>
          <w:szCs w:val="32"/>
        </w:rPr>
        <w:t>发放春节慰问金、特殊困难帮扶金，组织健康体检</w:t>
      </w:r>
      <w:r>
        <w:rPr>
          <w:rFonts w:hint="eastAsia" w:eastAsia="仿宋_GB2312"/>
          <w:bCs/>
          <w:sz w:val="32"/>
          <w:szCs w:val="32"/>
        </w:rPr>
        <w:t>等工作</w:t>
      </w:r>
      <w:r>
        <w:rPr>
          <w:rFonts w:eastAsia="仿宋_GB2312"/>
          <w:bCs/>
          <w:sz w:val="32"/>
          <w:szCs w:val="32"/>
        </w:rPr>
        <w:t>，</w:t>
      </w:r>
      <w:r>
        <w:rPr>
          <w:rFonts w:hint="eastAsia" w:eastAsia="仿宋_GB2312"/>
          <w:bCs/>
          <w:sz w:val="32"/>
          <w:szCs w:val="32"/>
          <w:lang w:eastAsia="zh-Hans"/>
        </w:rPr>
        <w:t>因</w:t>
      </w:r>
      <w:r>
        <w:rPr>
          <w:rFonts w:eastAsia="仿宋_GB2312"/>
          <w:bCs/>
          <w:sz w:val="32"/>
          <w:szCs w:val="32"/>
        </w:rPr>
        <w:t>受疫情影响健康疗休养</w:t>
      </w:r>
      <w:r>
        <w:rPr>
          <w:rFonts w:hint="eastAsia" w:eastAsia="仿宋_GB2312"/>
          <w:bCs/>
          <w:sz w:val="32"/>
          <w:szCs w:val="32"/>
          <w:lang w:eastAsia="zh-Hans"/>
        </w:rPr>
        <w:t>工作</w:t>
      </w:r>
      <w:r>
        <w:rPr>
          <w:rFonts w:eastAsia="仿宋_GB2312"/>
          <w:bCs/>
          <w:sz w:val="32"/>
          <w:szCs w:val="32"/>
        </w:rPr>
        <w:t>未开展。</w:t>
      </w:r>
    </w:p>
    <w:p>
      <w:pPr>
        <w:adjustRightInd w:val="0"/>
        <w:spacing w:line="360" w:lineRule="auto"/>
        <w:ind w:firstLine="640"/>
        <w:rPr>
          <w:rFonts w:eastAsia="仿宋_GB2312"/>
          <w:bCs/>
          <w:sz w:val="32"/>
          <w:szCs w:val="32"/>
          <w:lang w:eastAsia="zh-Hans"/>
        </w:rPr>
      </w:pPr>
      <w:bookmarkStart w:id="48" w:name="_Toc22429"/>
      <w:bookmarkStart w:id="49" w:name="_Toc4925"/>
      <w:r>
        <w:rPr>
          <w:rFonts w:hint="eastAsia" w:eastAsia="仿宋_GB2312"/>
          <w:bCs/>
          <w:sz w:val="32"/>
          <w:szCs w:val="32"/>
          <w:lang w:eastAsia="zh-Hans"/>
        </w:rPr>
        <w:t>评价分析认为：除因疫情影响健康疗养未开展外，劳模工作部基本完成年初设定计划，项目执行效率较高。</w:t>
      </w:r>
    </w:p>
    <w:p>
      <w:pPr>
        <w:adjustRightInd w:val="0"/>
        <w:spacing w:line="360" w:lineRule="auto"/>
        <w:ind w:firstLine="643"/>
        <w:outlineLvl w:val="1"/>
        <w:rPr>
          <w:rFonts w:eastAsia="仿宋_GB2312"/>
          <w:bCs/>
          <w:sz w:val="32"/>
          <w:szCs w:val="32"/>
          <w:highlight w:val="yellow"/>
        </w:rPr>
      </w:pPr>
      <w:r>
        <w:rPr>
          <w:rFonts w:eastAsia="楷体_GB2312"/>
          <w:b/>
          <w:sz w:val="32"/>
        </w:rPr>
        <w:t>（四）项目效益情况评价分析</w:t>
      </w:r>
      <w:bookmarkEnd w:id="48"/>
      <w:bookmarkEnd w:id="49"/>
    </w:p>
    <w:p>
      <w:pPr>
        <w:adjustRightInd w:val="0"/>
        <w:spacing w:line="360" w:lineRule="auto"/>
        <w:ind w:firstLine="640"/>
        <w:rPr>
          <w:rFonts w:eastAsia="仿宋_GB2312"/>
          <w:bCs/>
          <w:sz w:val="32"/>
          <w:szCs w:val="32"/>
        </w:rPr>
      </w:pPr>
      <w:r>
        <w:rPr>
          <w:rFonts w:eastAsia="仿宋_GB2312"/>
          <w:bCs/>
          <w:sz w:val="32"/>
          <w:szCs w:val="32"/>
        </w:rPr>
        <w:t>（1）项目实施对社会的影响</w:t>
      </w:r>
    </w:p>
    <w:p>
      <w:pPr>
        <w:adjustRightInd w:val="0"/>
        <w:spacing w:line="360" w:lineRule="auto"/>
        <w:ind w:firstLine="640"/>
        <w:rPr>
          <w:rFonts w:eastAsia="仿宋_GB2312"/>
          <w:bCs/>
          <w:sz w:val="32"/>
          <w:szCs w:val="32"/>
        </w:rPr>
      </w:pPr>
      <w:r>
        <w:rPr>
          <w:rFonts w:eastAsia="仿宋_GB2312"/>
          <w:bCs/>
          <w:sz w:val="32"/>
          <w:szCs w:val="32"/>
        </w:rPr>
        <w:t>通过项目实施，</w:t>
      </w:r>
      <w:r>
        <w:rPr>
          <w:rFonts w:hint="eastAsia" w:eastAsia="仿宋_GB2312"/>
          <w:bCs/>
          <w:sz w:val="32"/>
          <w:szCs w:val="32"/>
        </w:rPr>
        <w:t>做到了</w:t>
      </w:r>
      <w:r>
        <w:rPr>
          <w:rFonts w:eastAsia="仿宋_GB2312"/>
          <w:bCs/>
          <w:sz w:val="32"/>
          <w:szCs w:val="32"/>
        </w:rPr>
        <w:t>关心劳模生活，帮助困难劳模排忧解难，在全社会弘扬劳模精神。</w:t>
      </w:r>
      <w:r>
        <w:rPr>
          <w:rFonts w:hint="eastAsia" w:eastAsia="仿宋_GB2312"/>
          <w:bCs/>
          <w:sz w:val="32"/>
          <w:szCs w:val="32"/>
        </w:rPr>
        <w:t>同时</w:t>
      </w:r>
      <w:r>
        <w:rPr>
          <w:rFonts w:eastAsia="仿宋_GB2312"/>
          <w:bCs/>
          <w:sz w:val="32"/>
          <w:szCs w:val="32"/>
        </w:rPr>
        <w:t>也推动了各级工会组织劳模工作的不断完善，充分发挥工会作为劳模日常服务管理部门的作用。在加强首都劳模队伍建设过程中，</w:t>
      </w:r>
      <w:r>
        <w:rPr>
          <w:rFonts w:hint="eastAsia" w:eastAsia="仿宋_GB2312"/>
          <w:bCs/>
          <w:sz w:val="32"/>
          <w:szCs w:val="32"/>
        </w:rPr>
        <w:t>通过</w:t>
      </w:r>
      <w:r>
        <w:rPr>
          <w:rFonts w:eastAsia="仿宋_GB2312"/>
          <w:bCs/>
          <w:sz w:val="32"/>
          <w:szCs w:val="32"/>
        </w:rPr>
        <w:t>与有关部门的沟通协调，立足劳模需要，反映劳模诉求，设立本单位、本地区、本系统劳模工作资金与长效机制，创新</w:t>
      </w:r>
      <w:r>
        <w:rPr>
          <w:rFonts w:hint="eastAsia" w:eastAsia="仿宋_GB2312"/>
          <w:bCs/>
          <w:sz w:val="32"/>
          <w:szCs w:val="32"/>
        </w:rPr>
        <w:t>了</w:t>
      </w:r>
      <w:r>
        <w:rPr>
          <w:rFonts w:eastAsia="仿宋_GB2312"/>
          <w:bCs/>
          <w:sz w:val="32"/>
          <w:szCs w:val="32"/>
        </w:rPr>
        <w:t>劳模服务载体和手段，充分运用党政赋予工会的资源和各种社会化资源与手段，不断充实完善</w:t>
      </w:r>
      <w:r>
        <w:rPr>
          <w:rFonts w:hint="eastAsia" w:eastAsia="仿宋_GB2312"/>
          <w:bCs/>
          <w:sz w:val="32"/>
          <w:szCs w:val="32"/>
        </w:rPr>
        <w:t>了</w:t>
      </w:r>
      <w:r>
        <w:rPr>
          <w:rFonts w:eastAsia="仿宋_GB2312"/>
          <w:bCs/>
          <w:sz w:val="32"/>
          <w:szCs w:val="32"/>
        </w:rPr>
        <w:t>劳模服务内容、形式、方法等，实现</w:t>
      </w:r>
      <w:r>
        <w:rPr>
          <w:rFonts w:hint="eastAsia" w:eastAsia="仿宋_GB2312"/>
          <w:bCs/>
          <w:sz w:val="32"/>
          <w:szCs w:val="32"/>
        </w:rPr>
        <w:t>了</w:t>
      </w:r>
      <w:r>
        <w:rPr>
          <w:rFonts w:eastAsia="仿宋_GB2312"/>
          <w:bCs/>
          <w:sz w:val="32"/>
          <w:szCs w:val="32"/>
        </w:rPr>
        <w:t>服务工作在更高层面的系统整合，推进</w:t>
      </w:r>
      <w:r>
        <w:rPr>
          <w:rFonts w:hint="eastAsia" w:eastAsia="仿宋_GB2312"/>
          <w:bCs/>
          <w:sz w:val="32"/>
          <w:szCs w:val="32"/>
        </w:rPr>
        <w:t>了</w:t>
      </w:r>
      <w:r>
        <w:rPr>
          <w:rFonts w:eastAsia="仿宋_GB2312"/>
          <w:bCs/>
          <w:sz w:val="32"/>
          <w:szCs w:val="32"/>
        </w:rPr>
        <w:t>劳模服务工作标准化、科学化</w:t>
      </w:r>
      <w:r>
        <w:rPr>
          <w:rFonts w:hint="eastAsia" w:eastAsia="仿宋_GB2312"/>
          <w:bCs/>
          <w:sz w:val="32"/>
          <w:szCs w:val="32"/>
        </w:rPr>
        <w:t>及</w:t>
      </w:r>
      <w:r>
        <w:rPr>
          <w:rFonts w:eastAsia="仿宋_GB2312"/>
          <w:bCs/>
          <w:sz w:val="32"/>
          <w:szCs w:val="32"/>
        </w:rPr>
        <w:t>规范化。</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评价分析认为：该项目的实施发挥了</w:t>
      </w:r>
      <w:r>
        <w:rPr>
          <w:rFonts w:hint="eastAsia" w:eastAsia="仿宋_GB2312"/>
          <w:color w:val="000000"/>
          <w:kern w:val="0"/>
          <w:sz w:val="32"/>
          <w:szCs w:val="32"/>
        </w:rPr>
        <w:t>应有</w:t>
      </w:r>
      <w:r>
        <w:rPr>
          <w:rFonts w:eastAsia="仿宋_GB2312"/>
          <w:color w:val="000000"/>
          <w:kern w:val="0"/>
          <w:sz w:val="32"/>
          <w:szCs w:val="32"/>
        </w:rPr>
        <w:t>的社会效益，但</w:t>
      </w:r>
      <w:r>
        <w:rPr>
          <w:rFonts w:eastAsia="仿宋_GB2312"/>
          <w:sz w:val="32"/>
          <w:szCs w:val="32"/>
        </w:rPr>
        <w:t>项目实施效果的呈现及总结仍需进一步加强。</w:t>
      </w:r>
    </w:p>
    <w:p>
      <w:pPr>
        <w:adjustRightInd w:val="0"/>
        <w:spacing w:line="360" w:lineRule="auto"/>
        <w:ind w:firstLine="640" w:firstLineChars="200"/>
        <w:rPr>
          <w:rFonts w:eastAsia="仿宋_GB2312"/>
          <w:color w:val="000000"/>
          <w:kern w:val="0"/>
          <w:sz w:val="32"/>
          <w:szCs w:val="32"/>
        </w:rPr>
      </w:pPr>
      <w:r>
        <w:rPr>
          <w:rFonts w:eastAsia="仿宋_GB2312"/>
          <w:color w:val="000000"/>
          <w:kern w:val="0"/>
          <w:sz w:val="32"/>
          <w:szCs w:val="32"/>
        </w:rPr>
        <w:t>（2）项目实施的可持续影响</w:t>
      </w:r>
    </w:p>
    <w:p>
      <w:pPr>
        <w:adjustRightInd w:val="0"/>
        <w:spacing w:line="360" w:lineRule="auto"/>
        <w:ind w:firstLine="640"/>
        <w:rPr>
          <w:rFonts w:eastAsia="仿宋_GB2312"/>
          <w:bCs/>
          <w:sz w:val="32"/>
          <w:szCs w:val="32"/>
        </w:rPr>
      </w:pPr>
      <w:r>
        <w:rPr>
          <w:rFonts w:eastAsia="仿宋_GB2312"/>
          <w:bCs/>
          <w:sz w:val="32"/>
          <w:szCs w:val="32"/>
        </w:rPr>
        <w:t>通过该项目的实施向全社会传达市委、市政府对劳模的关心关爱，大力弘扬工人阶级伟大品格和劳模精神，用劳模的先进事迹、崇高思想和优秀品质感召职工群众，激励广大职工不断提高自身素质，充分发挥工人阶级主力军作用，为推动经济又好又快发展积极贡献力量。</w:t>
      </w:r>
    </w:p>
    <w:p>
      <w:pPr>
        <w:adjustRightInd w:val="0"/>
        <w:spacing w:line="360" w:lineRule="auto"/>
        <w:ind w:firstLine="640"/>
        <w:rPr>
          <w:rFonts w:eastAsia="仿宋_GB2312"/>
          <w:bCs/>
          <w:sz w:val="32"/>
          <w:szCs w:val="32"/>
        </w:rPr>
      </w:pPr>
      <w:r>
        <w:rPr>
          <w:rFonts w:eastAsia="仿宋_GB2312"/>
          <w:bCs/>
          <w:sz w:val="32"/>
          <w:szCs w:val="32"/>
        </w:rPr>
        <w:t>评价分析认为：该项目的实施具有可持续影响，但项目完成情况缺少总结和分析，绩效成果呈现不足。</w:t>
      </w:r>
    </w:p>
    <w:p>
      <w:pPr>
        <w:adjustRightInd w:val="0"/>
        <w:spacing w:line="360" w:lineRule="auto"/>
        <w:ind w:firstLine="640"/>
        <w:rPr>
          <w:rFonts w:eastAsia="仿宋_GB2312"/>
          <w:bCs/>
          <w:sz w:val="32"/>
          <w:szCs w:val="32"/>
        </w:rPr>
      </w:pPr>
      <w:r>
        <w:rPr>
          <w:rFonts w:eastAsia="仿宋_GB2312"/>
          <w:bCs/>
          <w:sz w:val="32"/>
          <w:szCs w:val="32"/>
        </w:rPr>
        <w:t>（3）服务对象满意度</w:t>
      </w:r>
      <w:bookmarkEnd w:id="47"/>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实施部门针对健康体检项目开展了满意度调查，服务对象对该项目的实施过程</w:t>
      </w:r>
      <w:r>
        <w:rPr>
          <w:rFonts w:hint="eastAsia" w:eastAsia="仿宋_GB2312"/>
          <w:color w:val="000000"/>
          <w:kern w:val="0"/>
          <w:sz w:val="32"/>
          <w:szCs w:val="32"/>
        </w:rPr>
        <w:t>满意度较高</w:t>
      </w:r>
      <w:r>
        <w:rPr>
          <w:rFonts w:eastAsia="仿宋_GB2312"/>
          <w:color w:val="000000"/>
          <w:kern w:val="0"/>
          <w:sz w:val="32"/>
          <w:szCs w:val="32"/>
        </w:rPr>
        <w:t>。但</w:t>
      </w:r>
      <w:r>
        <w:rPr>
          <w:rFonts w:eastAsia="仿宋_GB2312"/>
          <w:bCs/>
          <w:kern w:val="0"/>
          <w:sz w:val="32"/>
          <w:szCs w:val="32"/>
        </w:rPr>
        <w:t>未对享受到春节慰问、生活困难补助、特殊困难补助的劳模开展满意度调查</w:t>
      </w:r>
      <w:r>
        <w:rPr>
          <w:rFonts w:hint="eastAsia" w:eastAsia="仿宋_GB2312"/>
          <w:bCs/>
          <w:kern w:val="0"/>
          <w:sz w:val="32"/>
          <w:szCs w:val="32"/>
          <w:lang w:eastAsia="zh-Hans"/>
        </w:rPr>
        <w:t>。</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评价分析认为：</w:t>
      </w:r>
      <w:r>
        <w:rPr>
          <w:rFonts w:hint="eastAsia" w:eastAsia="仿宋_GB2312"/>
          <w:color w:val="000000"/>
          <w:kern w:val="0"/>
          <w:sz w:val="32"/>
          <w:szCs w:val="32"/>
        </w:rPr>
        <w:t>服务对象满意度数据</w:t>
      </w:r>
      <w:r>
        <w:rPr>
          <w:rFonts w:eastAsia="仿宋_GB2312"/>
          <w:color w:val="000000"/>
          <w:kern w:val="0"/>
          <w:sz w:val="32"/>
          <w:szCs w:val="32"/>
        </w:rPr>
        <w:t>不全面</w:t>
      </w:r>
      <w:r>
        <w:rPr>
          <w:rFonts w:hint="eastAsia" w:eastAsia="仿宋_GB2312"/>
          <w:color w:val="000000"/>
          <w:kern w:val="0"/>
          <w:sz w:val="32"/>
          <w:szCs w:val="32"/>
          <w:lang w:eastAsia="zh-Hans"/>
        </w:rPr>
        <w:t>，</w:t>
      </w:r>
      <w:r>
        <w:rPr>
          <w:rFonts w:eastAsia="仿宋_GB2312"/>
          <w:color w:val="000000"/>
          <w:kern w:val="0"/>
          <w:sz w:val="32"/>
          <w:szCs w:val="32"/>
        </w:rPr>
        <w:t>服务人群覆盖不完整，</w:t>
      </w:r>
      <w:r>
        <w:rPr>
          <w:rFonts w:hint="eastAsia" w:eastAsia="仿宋_GB2312"/>
          <w:color w:val="000000"/>
          <w:kern w:val="0"/>
          <w:sz w:val="32"/>
          <w:szCs w:val="32"/>
        </w:rPr>
        <w:t>缺少对</w:t>
      </w:r>
      <w:r>
        <w:rPr>
          <w:rFonts w:eastAsia="仿宋_GB2312"/>
          <w:color w:val="000000"/>
          <w:kern w:val="0"/>
          <w:sz w:val="32"/>
          <w:szCs w:val="32"/>
        </w:rPr>
        <w:t>享受到春节慰问、生活困难补助、特殊困难补助的劳模</w:t>
      </w:r>
      <w:r>
        <w:rPr>
          <w:rFonts w:hint="eastAsia" w:eastAsia="仿宋_GB2312"/>
          <w:color w:val="000000"/>
          <w:kern w:val="0"/>
          <w:sz w:val="32"/>
          <w:szCs w:val="32"/>
        </w:rPr>
        <w:t>的</w:t>
      </w:r>
      <w:r>
        <w:rPr>
          <w:rFonts w:eastAsia="仿宋_GB2312"/>
          <w:color w:val="000000"/>
          <w:kern w:val="0"/>
          <w:sz w:val="32"/>
          <w:szCs w:val="32"/>
        </w:rPr>
        <w:t>满意度调查；缺少</w:t>
      </w:r>
      <w:r>
        <w:rPr>
          <w:rFonts w:hint="eastAsia" w:eastAsia="仿宋_GB2312"/>
          <w:color w:val="000000"/>
          <w:kern w:val="0"/>
          <w:sz w:val="32"/>
          <w:szCs w:val="32"/>
        </w:rPr>
        <w:t>项目整体的</w:t>
      </w:r>
      <w:r>
        <w:rPr>
          <w:rFonts w:eastAsia="仿宋_GB2312"/>
          <w:color w:val="000000"/>
          <w:kern w:val="0"/>
          <w:sz w:val="32"/>
          <w:szCs w:val="32"/>
          <w:lang w:eastAsia="zh-Hans"/>
        </w:rPr>
        <w:t>满意度调查</w:t>
      </w:r>
      <w:r>
        <w:rPr>
          <w:rFonts w:eastAsia="仿宋_GB2312"/>
          <w:color w:val="000000"/>
          <w:kern w:val="0"/>
          <w:sz w:val="32"/>
          <w:szCs w:val="32"/>
        </w:rPr>
        <w:t>统计分析</w:t>
      </w:r>
      <w:r>
        <w:rPr>
          <w:rFonts w:hint="eastAsia" w:eastAsia="仿宋_GB2312"/>
          <w:color w:val="000000"/>
          <w:kern w:val="0"/>
          <w:sz w:val="32"/>
          <w:szCs w:val="32"/>
        </w:rPr>
        <w:t>及往年数据的统计对比，不利于项目的效果呈现</w:t>
      </w:r>
      <w:r>
        <w:rPr>
          <w:rFonts w:eastAsia="仿宋_GB2312"/>
          <w:color w:val="000000"/>
          <w:kern w:val="0"/>
          <w:sz w:val="32"/>
          <w:szCs w:val="32"/>
        </w:rPr>
        <w:t>。</w:t>
      </w:r>
      <w:bookmarkEnd w:id="30"/>
    </w:p>
    <w:p>
      <w:pPr>
        <w:adjustRightInd w:val="0"/>
        <w:spacing w:line="360" w:lineRule="auto"/>
        <w:ind w:firstLine="640"/>
        <w:outlineLvl w:val="0"/>
        <w:rPr>
          <w:rFonts w:eastAsia="黑体"/>
          <w:sz w:val="32"/>
          <w:szCs w:val="32"/>
          <w:lang w:eastAsia="zh-Hans"/>
        </w:rPr>
      </w:pPr>
      <w:bookmarkStart w:id="50" w:name="_Toc19214"/>
      <w:bookmarkStart w:id="51" w:name="_Toc1780787296"/>
      <w:bookmarkStart w:id="52" w:name="_Toc30401"/>
      <w:bookmarkStart w:id="53" w:name="_Toc17703884"/>
      <w:r>
        <w:rPr>
          <w:rFonts w:eastAsia="黑体"/>
          <w:sz w:val="32"/>
          <w:szCs w:val="32"/>
          <w:lang w:eastAsia="zh-Hans"/>
        </w:rPr>
        <w:t>五、主要经验及做法、存在的问题及原因分析</w:t>
      </w:r>
      <w:bookmarkEnd w:id="50"/>
      <w:bookmarkEnd w:id="51"/>
      <w:bookmarkEnd w:id="52"/>
      <w:bookmarkStart w:id="54" w:name="_Toc12899"/>
    </w:p>
    <w:p>
      <w:pPr>
        <w:adjustRightInd w:val="0"/>
        <w:spacing w:line="360" w:lineRule="auto"/>
        <w:ind w:firstLine="643"/>
        <w:rPr>
          <w:rFonts w:eastAsia="楷体_GB2312"/>
          <w:b/>
          <w:sz w:val="32"/>
        </w:rPr>
      </w:pPr>
      <w:bookmarkStart w:id="55" w:name="_Toc212495633"/>
      <w:bookmarkStart w:id="56" w:name="_Toc31998"/>
      <w:r>
        <w:rPr>
          <w:rFonts w:eastAsia="楷体_GB2312"/>
          <w:b/>
          <w:sz w:val="32"/>
        </w:rPr>
        <w:t>（一）主要经验及做法</w:t>
      </w:r>
      <w:bookmarkEnd w:id="55"/>
      <w:bookmarkEnd w:id="56"/>
    </w:p>
    <w:p>
      <w:pPr>
        <w:adjustRightInd w:val="0"/>
        <w:spacing w:line="360" w:lineRule="auto"/>
        <w:ind w:firstLine="640"/>
        <w:rPr>
          <w:rFonts w:eastAsia="仿宋_GB2312"/>
          <w:kern w:val="0"/>
          <w:sz w:val="32"/>
          <w:szCs w:val="32"/>
        </w:rPr>
      </w:pPr>
      <w:bookmarkStart w:id="57" w:name="_Toc148798870"/>
      <w:r>
        <w:rPr>
          <w:rFonts w:eastAsia="仿宋_GB2312"/>
          <w:kern w:val="0"/>
          <w:sz w:val="32"/>
          <w:szCs w:val="32"/>
        </w:rPr>
        <w:t>2021年劳模工作部深入贯彻落实各项政策要求，严格执行“三重一大”、财务管理等各项制度规定，各项工作有序开展。</w:t>
      </w:r>
    </w:p>
    <w:p>
      <w:pPr>
        <w:adjustRightInd w:val="0"/>
        <w:spacing w:line="360" w:lineRule="auto"/>
        <w:ind w:firstLine="643"/>
        <w:rPr>
          <w:rFonts w:eastAsia="仿宋_GB2312"/>
          <w:b/>
          <w:bCs/>
          <w:kern w:val="0"/>
          <w:sz w:val="32"/>
          <w:szCs w:val="32"/>
        </w:rPr>
      </w:pPr>
      <w:r>
        <w:rPr>
          <w:rFonts w:eastAsia="仿宋_GB2312"/>
          <w:b/>
          <w:bCs/>
          <w:kern w:val="0"/>
          <w:sz w:val="32"/>
          <w:szCs w:val="32"/>
        </w:rPr>
        <w:t>1.严格支出审批，确保资金安全。</w:t>
      </w:r>
      <w:r>
        <w:rPr>
          <w:rFonts w:eastAsia="仿宋_GB2312"/>
          <w:color w:val="000000"/>
          <w:kern w:val="0"/>
          <w:sz w:val="32"/>
          <w:szCs w:val="32"/>
        </w:rPr>
        <w:t>实施部门依据《北京市总工会办公室关于印发</w:t>
      </w:r>
      <w:r>
        <w:rPr>
          <w:rFonts w:hint="eastAsia" w:ascii="仿宋_GB2312" w:eastAsia="仿宋_GB2312"/>
          <w:color w:val="000000"/>
          <w:kern w:val="0"/>
          <w:sz w:val="32"/>
          <w:szCs w:val="32"/>
        </w:rPr>
        <w:t>〈</w:t>
      </w:r>
      <w:r>
        <w:rPr>
          <w:rFonts w:eastAsia="仿宋_GB2312"/>
          <w:color w:val="000000"/>
          <w:kern w:val="0"/>
          <w:sz w:val="32"/>
          <w:szCs w:val="32"/>
        </w:rPr>
        <w:t>北京市全国和市级劳模专项补助资金发放管理办法（试行）</w:t>
      </w:r>
      <w:r>
        <w:rPr>
          <w:rFonts w:hint="eastAsia" w:ascii="仿宋_GB2312" w:eastAsia="仿宋_GB2312"/>
          <w:color w:val="000000"/>
          <w:kern w:val="0"/>
          <w:sz w:val="32"/>
          <w:szCs w:val="32"/>
        </w:rPr>
        <w:t>〉</w:t>
      </w:r>
      <w:r>
        <w:rPr>
          <w:rFonts w:eastAsia="仿宋_GB2312"/>
          <w:color w:val="000000"/>
          <w:kern w:val="0"/>
          <w:sz w:val="32"/>
          <w:szCs w:val="32"/>
        </w:rPr>
        <w:t>的通知》（京工办发〔2017〕70号）等相关文件要求，</w:t>
      </w:r>
      <w:r>
        <w:rPr>
          <w:rFonts w:eastAsia="仿宋_GB2312"/>
          <w:kern w:val="0"/>
          <w:sz w:val="32"/>
          <w:szCs w:val="32"/>
        </w:rPr>
        <w:t>严格履行资金支出审批程序，专款专用，确保资金使用安全。</w:t>
      </w:r>
    </w:p>
    <w:p>
      <w:pPr>
        <w:adjustRightInd w:val="0"/>
        <w:spacing w:line="360" w:lineRule="auto"/>
        <w:ind w:firstLine="643"/>
        <w:rPr>
          <w:rFonts w:eastAsia="仿宋_GB2312"/>
          <w:kern w:val="0"/>
          <w:sz w:val="32"/>
          <w:szCs w:val="32"/>
        </w:rPr>
      </w:pPr>
      <w:r>
        <w:rPr>
          <w:rFonts w:eastAsia="仿宋_GB2312"/>
          <w:b/>
          <w:bCs/>
          <w:kern w:val="0"/>
          <w:sz w:val="32"/>
          <w:szCs w:val="32"/>
        </w:rPr>
        <w:t>2.规范实施流程。</w:t>
      </w:r>
      <w:r>
        <w:rPr>
          <w:rFonts w:eastAsia="仿宋_GB2312"/>
          <w:kern w:val="0"/>
          <w:sz w:val="32"/>
          <w:szCs w:val="32"/>
        </w:rPr>
        <w:t>严格按照《</w:t>
      </w:r>
      <w:r>
        <w:rPr>
          <w:rFonts w:eastAsia="仿宋_GB2312"/>
          <w:color w:val="000000"/>
          <w:kern w:val="0"/>
          <w:sz w:val="32"/>
          <w:szCs w:val="32"/>
        </w:rPr>
        <w:t>北京市总工会</w:t>
      </w:r>
      <w:r>
        <w:rPr>
          <w:rFonts w:eastAsia="仿宋_GB2312"/>
          <w:color w:val="000000"/>
          <w:kern w:val="0"/>
          <w:sz w:val="32"/>
          <w:szCs w:val="32"/>
          <w:lang w:eastAsia="zh-Hans"/>
        </w:rPr>
        <w:t>制度汇编</w:t>
      </w:r>
      <w:r>
        <w:rPr>
          <w:rFonts w:eastAsia="仿宋_GB2312"/>
          <w:color w:val="000000"/>
          <w:kern w:val="0"/>
          <w:sz w:val="32"/>
          <w:szCs w:val="32"/>
        </w:rPr>
        <w:t>》要求对项目执行、资料存档、资金申请及拨付等各个环节做出规范，</w:t>
      </w:r>
      <w:r>
        <w:rPr>
          <w:rFonts w:eastAsia="仿宋_GB2312"/>
          <w:kern w:val="0"/>
          <w:sz w:val="32"/>
          <w:szCs w:val="32"/>
        </w:rPr>
        <w:t>确保项目的有序开展。</w:t>
      </w:r>
      <w:bookmarkEnd w:id="57"/>
    </w:p>
    <w:p>
      <w:pPr>
        <w:adjustRightInd w:val="0"/>
        <w:spacing w:line="360" w:lineRule="auto"/>
        <w:ind w:firstLine="643"/>
        <w:rPr>
          <w:rFonts w:eastAsia="楷体_GB2312"/>
          <w:b/>
          <w:sz w:val="32"/>
        </w:rPr>
      </w:pPr>
      <w:bookmarkStart w:id="58" w:name="_Toc1191642982"/>
      <w:bookmarkStart w:id="59" w:name="_Toc15739"/>
      <w:r>
        <w:rPr>
          <w:rFonts w:eastAsia="楷体_GB2312"/>
          <w:b/>
          <w:sz w:val="32"/>
        </w:rPr>
        <w:t>（二）存在的问题及原因分析</w:t>
      </w:r>
      <w:bookmarkEnd w:id="54"/>
      <w:bookmarkEnd w:id="58"/>
      <w:bookmarkEnd w:id="59"/>
    </w:p>
    <w:p>
      <w:pPr>
        <w:adjustRightInd w:val="0"/>
        <w:spacing w:line="360" w:lineRule="auto"/>
        <w:ind w:firstLine="640"/>
        <w:rPr>
          <w:rFonts w:eastAsia="仿宋_GB2312"/>
          <w:color w:val="000000"/>
          <w:kern w:val="0"/>
          <w:sz w:val="32"/>
          <w:szCs w:val="32"/>
        </w:rPr>
      </w:pPr>
      <w:bookmarkStart w:id="60" w:name="_Toc511106552"/>
      <w:bookmarkStart w:id="61" w:name="_Toc20926"/>
      <w:bookmarkStart w:id="62" w:name="_Toc5371"/>
      <w:r>
        <w:rPr>
          <w:rFonts w:eastAsia="仿宋_GB2312"/>
          <w:color w:val="000000"/>
          <w:kern w:val="0"/>
          <w:sz w:val="32"/>
          <w:szCs w:val="32"/>
        </w:rPr>
        <w:t>1.项目决策方面</w:t>
      </w:r>
      <w:bookmarkEnd w:id="60"/>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（1）前期需求调研不充分。健康疗休养活动未对劳模的诉求、存在的困难进行深入探访和分析，未形成针对性的疗休养方案。</w:t>
      </w:r>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（2）绩效目标设置的科学性不足，指标设置不够细化。如：</w:t>
      </w:r>
      <w:r>
        <w:rPr>
          <w:bCs/>
          <w:sz w:val="32"/>
          <w:szCs w:val="32"/>
          <w:lang w:eastAsia="zh-CN"/>
        </w:rPr>
        <w:t>质量指标</w:t>
      </w:r>
      <w:r>
        <w:rPr>
          <w:rFonts w:hint="eastAsia"/>
          <w:bCs/>
          <w:sz w:val="32"/>
          <w:szCs w:val="32"/>
          <w:lang w:eastAsia="zh-CN"/>
        </w:rPr>
        <w:t>设置为</w:t>
      </w:r>
      <w:r>
        <w:rPr>
          <w:bCs/>
          <w:sz w:val="32"/>
          <w:szCs w:val="32"/>
          <w:lang w:eastAsia="zh-CN"/>
        </w:rPr>
        <w:t>人均补贴额度不合理，应是补助发放的及时准确性、疗养的质量、体检的质量标准；</w:t>
      </w:r>
      <w:r>
        <w:rPr>
          <w:rFonts w:ascii="Times New Roman" w:hAnsi="Times New Roman"/>
          <w:color w:val="000000"/>
          <w:kern w:val="0"/>
          <w:sz w:val="32"/>
          <w:szCs w:val="32"/>
          <w:lang w:eastAsia="zh-CN"/>
        </w:rPr>
        <w:t>进度指标设置不够细化，</w:t>
      </w:r>
      <w:r>
        <w:rPr>
          <w:rFonts w:hint="eastAsia" w:ascii="Times New Roman" w:hAnsi="Times New Roman"/>
          <w:color w:val="000000"/>
          <w:kern w:val="0"/>
          <w:sz w:val="32"/>
          <w:szCs w:val="32"/>
          <w:lang w:eastAsia="zh-CN"/>
        </w:rPr>
        <w:t>应</w:t>
      </w:r>
      <w:r>
        <w:rPr>
          <w:rFonts w:ascii="Times New Roman" w:hAnsi="Times New Roman"/>
          <w:color w:val="000000"/>
          <w:kern w:val="0"/>
          <w:sz w:val="32"/>
          <w:szCs w:val="32"/>
          <w:lang w:eastAsia="zh-CN"/>
        </w:rPr>
        <w:t>进一步细化到月度区间；可持续影响指标设定不够精准，可设定通过疗养和体检，建立健全劳模健康管理系统，持续监测和改善健康状况，提高生活质量等；服务对象满意度指标设置为“健康疗休养和体检满意度”，满意度调查对象未覆盖享受春节慰问、享受生活困难补助和享受特殊困难补助的人员，受益对象不完整。</w:t>
      </w:r>
    </w:p>
    <w:p>
      <w:pPr>
        <w:adjustRightInd w:val="0"/>
        <w:spacing w:line="360" w:lineRule="auto"/>
        <w:ind w:firstLine="640"/>
        <w:rPr>
          <w:rFonts w:eastAsia="仿宋_GB2312"/>
          <w:color w:val="000000"/>
          <w:kern w:val="0"/>
          <w:sz w:val="32"/>
          <w:szCs w:val="32"/>
          <w:lang w:eastAsia="zh-Hans"/>
        </w:rPr>
      </w:pPr>
      <w:r>
        <w:rPr>
          <w:rFonts w:hint="eastAsia" w:eastAsia="仿宋_GB2312"/>
          <w:color w:val="000000"/>
          <w:kern w:val="0"/>
          <w:sz w:val="32"/>
          <w:szCs w:val="32"/>
          <w:lang w:eastAsia="zh-Hans"/>
        </w:rPr>
        <w:t>（</w:t>
      </w:r>
      <w:r>
        <w:rPr>
          <w:rFonts w:eastAsia="仿宋_GB2312"/>
          <w:color w:val="000000"/>
          <w:kern w:val="0"/>
          <w:sz w:val="32"/>
          <w:szCs w:val="32"/>
          <w:lang w:eastAsia="zh-Hans"/>
        </w:rPr>
        <w:t>3</w:t>
      </w:r>
      <w:r>
        <w:rPr>
          <w:rFonts w:hint="eastAsia" w:eastAsia="仿宋_GB2312"/>
          <w:color w:val="000000"/>
          <w:kern w:val="0"/>
          <w:sz w:val="32"/>
          <w:szCs w:val="32"/>
          <w:lang w:eastAsia="zh-Hans"/>
        </w:rPr>
        <w:t>）标准设定和补助测算原则及精准度不足。如特困补助金预算申报1250人，金额640</w:t>
      </w:r>
      <w:r>
        <w:rPr>
          <w:rFonts w:eastAsia="仿宋_GB2312"/>
          <w:color w:val="000000"/>
          <w:kern w:val="0"/>
          <w:sz w:val="32"/>
          <w:szCs w:val="32"/>
          <w:lang w:eastAsia="zh-Hans"/>
        </w:rPr>
        <w:t>.00</w:t>
      </w:r>
      <w:r>
        <w:rPr>
          <w:rFonts w:hint="eastAsia" w:eastAsia="仿宋_GB2312"/>
          <w:color w:val="000000"/>
          <w:kern w:val="0"/>
          <w:sz w:val="32"/>
          <w:szCs w:val="32"/>
          <w:lang w:eastAsia="zh-Hans"/>
        </w:rPr>
        <w:t>万元，标准是按照本人自付医疗费用20%</w:t>
      </w:r>
      <w:r>
        <w:rPr>
          <w:rFonts w:eastAsia="仿宋_GB2312"/>
          <w:color w:val="000000"/>
          <w:kern w:val="0"/>
          <w:sz w:val="32"/>
          <w:szCs w:val="32"/>
          <w:lang w:eastAsia="zh-Hans"/>
        </w:rPr>
        <w:t>–</w:t>
      </w:r>
      <w:r>
        <w:rPr>
          <w:rFonts w:hint="eastAsia" w:eastAsia="仿宋_GB2312"/>
          <w:color w:val="000000"/>
          <w:kern w:val="0"/>
          <w:sz w:val="32"/>
          <w:szCs w:val="32"/>
          <w:lang w:eastAsia="zh-Hans"/>
        </w:rPr>
        <w:t>50%予以补贴（0.1</w:t>
      </w:r>
      <w:r>
        <w:rPr>
          <w:rFonts w:eastAsia="仿宋_GB2312"/>
          <w:color w:val="000000"/>
          <w:kern w:val="0"/>
          <w:sz w:val="32"/>
          <w:szCs w:val="32"/>
          <w:lang w:eastAsia="zh-Hans"/>
        </w:rPr>
        <w:t>–</w:t>
      </w:r>
      <w:r>
        <w:rPr>
          <w:rFonts w:hint="eastAsia" w:eastAsia="仿宋_GB2312"/>
          <w:color w:val="000000"/>
          <w:kern w:val="0"/>
          <w:sz w:val="32"/>
          <w:szCs w:val="32"/>
          <w:lang w:eastAsia="zh-Hans"/>
        </w:rPr>
        <w:t>5万元不等），20%</w:t>
      </w:r>
      <w:r>
        <w:rPr>
          <w:rFonts w:eastAsia="仿宋_GB2312"/>
          <w:color w:val="000000"/>
          <w:kern w:val="0"/>
          <w:sz w:val="32"/>
          <w:szCs w:val="32"/>
          <w:lang w:eastAsia="zh-Hans"/>
        </w:rPr>
        <w:t>‒</w:t>
      </w:r>
      <w:r>
        <w:rPr>
          <w:rFonts w:hint="eastAsia" w:eastAsia="仿宋_GB2312"/>
          <w:color w:val="000000"/>
          <w:kern w:val="0"/>
          <w:sz w:val="32"/>
          <w:szCs w:val="32"/>
          <w:lang w:eastAsia="zh-Hans"/>
        </w:rPr>
        <w:t>50%区间的取值原则和标准不明确。参与健康疗休养和健康体检劳模范围、比例以及原则不明确。</w:t>
      </w:r>
    </w:p>
    <w:p>
      <w:pPr>
        <w:adjustRightInd w:val="0"/>
        <w:spacing w:line="360" w:lineRule="auto"/>
        <w:ind w:firstLine="640"/>
        <w:rPr>
          <w:rFonts w:eastAsia="仿宋_GB2312"/>
          <w:color w:val="000000"/>
          <w:kern w:val="0"/>
          <w:sz w:val="32"/>
          <w:szCs w:val="32"/>
          <w:lang w:eastAsia="zh-Hans"/>
        </w:rPr>
      </w:pPr>
      <w:r>
        <w:rPr>
          <w:rFonts w:hint="eastAsia" w:eastAsia="仿宋_GB2312"/>
          <w:color w:val="000000"/>
          <w:kern w:val="0"/>
          <w:sz w:val="32"/>
          <w:szCs w:val="32"/>
          <w:lang w:eastAsia="zh-Hans"/>
        </w:rPr>
        <w:t>（</w:t>
      </w:r>
      <w:r>
        <w:rPr>
          <w:rFonts w:eastAsia="仿宋_GB2312"/>
          <w:color w:val="000000"/>
          <w:kern w:val="0"/>
          <w:sz w:val="32"/>
          <w:szCs w:val="32"/>
          <w:lang w:eastAsia="zh-Hans"/>
        </w:rPr>
        <w:t>4</w:t>
      </w:r>
      <w:r>
        <w:rPr>
          <w:rFonts w:hint="eastAsia" w:eastAsia="仿宋_GB2312"/>
          <w:color w:val="000000"/>
          <w:kern w:val="0"/>
          <w:sz w:val="32"/>
          <w:szCs w:val="32"/>
          <w:lang w:eastAsia="zh-Hans"/>
        </w:rPr>
        <w:t>）预算申报文本不够规范，各级资金分担的原则未说明。纳入各类保障的劳模人数来源、统计时间节点等预算基础信息呈现不清晰，在疫情存在较大不确定性的前提下，对休养费的预算决策科学性不够。例如春节慰问劳模人数预算13150人，实际1223</w:t>
      </w:r>
      <w:r>
        <w:rPr>
          <w:rFonts w:hint="default" w:eastAsia="仿宋_GB2312"/>
          <w:color w:val="000000"/>
          <w:kern w:val="0"/>
          <w:sz w:val="32"/>
          <w:szCs w:val="32"/>
          <w:lang w:eastAsia="zh-Hans"/>
        </w:rPr>
        <w:t>5</w:t>
      </w:r>
      <w:r>
        <w:rPr>
          <w:rFonts w:hint="eastAsia" w:eastAsia="仿宋_GB2312"/>
          <w:color w:val="000000"/>
          <w:kern w:val="0"/>
          <w:sz w:val="32"/>
          <w:szCs w:val="32"/>
          <w:lang w:eastAsia="zh-Hans"/>
        </w:rPr>
        <w:t>人，差异较大；2020年度预算包含休养费512</w:t>
      </w:r>
      <w:r>
        <w:rPr>
          <w:rFonts w:eastAsia="仿宋_GB2312"/>
          <w:color w:val="000000"/>
          <w:kern w:val="0"/>
          <w:sz w:val="32"/>
          <w:szCs w:val="32"/>
          <w:lang w:eastAsia="zh-Hans"/>
        </w:rPr>
        <w:t>.00</w:t>
      </w:r>
      <w:r>
        <w:rPr>
          <w:rFonts w:hint="eastAsia" w:eastAsia="仿宋_GB2312"/>
          <w:color w:val="000000"/>
          <w:kern w:val="0"/>
          <w:sz w:val="32"/>
          <w:szCs w:val="32"/>
          <w:lang w:eastAsia="zh-Hans"/>
        </w:rPr>
        <w:t>万元，因疫情影响未开展该项服务，2021年度仍申报并持续未开展该服务。</w:t>
      </w:r>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2.项目管理方面</w:t>
      </w:r>
    </w:p>
    <w:p>
      <w:pPr>
        <w:pStyle w:val="23"/>
        <w:autoSpaceDN w:val="0"/>
        <w:spacing w:line="360" w:lineRule="auto"/>
        <w:ind w:firstLine="640" w:firstLineChars="200"/>
        <w:jc w:val="both"/>
        <w:rPr>
          <w:rFonts w:ascii="Times New Roman" w:hAnsi="Times New Roman"/>
          <w:color w:val="000000"/>
          <w:kern w:val="0"/>
          <w:sz w:val="32"/>
          <w:szCs w:val="32"/>
          <w:lang w:eastAsia="zh-CN"/>
        </w:rPr>
      </w:pPr>
      <w:bookmarkStart w:id="63" w:name="_Toc1531204668"/>
      <w:r>
        <w:rPr>
          <w:rFonts w:ascii="Times New Roman" w:hAnsi="Times New Roman"/>
          <w:color w:val="000000"/>
          <w:kern w:val="0"/>
          <w:sz w:val="32"/>
          <w:szCs w:val="32"/>
          <w:lang w:eastAsia="zh-CN"/>
        </w:rPr>
        <w:t>（1）项目缺少实施方案，项目执行的合规性不足；过程管理不够严谨，劳模登记信息系统更新不及时。存在两笔退回劳模的慰问金情况。</w:t>
      </w:r>
    </w:p>
    <w:p>
      <w:pPr>
        <w:pStyle w:val="23"/>
        <w:autoSpaceDN w:val="0"/>
        <w:spacing w:line="360" w:lineRule="auto"/>
        <w:ind w:firstLine="640" w:firstLineChars="200"/>
        <w:jc w:val="both"/>
        <w:rPr>
          <w:rFonts w:hint="eastAsia" w:ascii="Times New Roman" w:hAnsi="Times New Roman"/>
          <w:color w:val="000000"/>
          <w:kern w:val="0"/>
          <w:sz w:val="32"/>
          <w:szCs w:val="32"/>
          <w:lang w:eastAsia="zh-Hans"/>
        </w:rPr>
      </w:pPr>
      <w:r>
        <w:rPr>
          <w:rFonts w:hint="eastAsia" w:ascii="Times New Roman" w:hAnsi="Times New Roman"/>
          <w:color w:val="000000"/>
          <w:kern w:val="0"/>
          <w:sz w:val="32"/>
          <w:szCs w:val="32"/>
          <w:lang w:eastAsia="zh-Hans"/>
        </w:rPr>
        <w:t>（</w:t>
      </w:r>
      <w:r>
        <w:rPr>
          <w:rFonts w:ascii="Times New Roman" w:hAnsi="Times New Roman"/>
          <w:color w:val="000000"/>
          <w:kern w:val="0"/>
          <w:sz w:val="32"/>
          <w:szCs w:val="32"/>
          <w:lang w:eastAsia="zh-Hans"/>
        </w:rPr>
        <w:t>2</w:t>
      </w:r>
      <w:r>
        <w:rPr>
          <w:rFonts w:hint="eastAsia" w:ascii="Times New Roman" w:hAnsi="Times New Roman"/>
          <w:color w:val="000000"/>
          <w:kern w:val="0"/>
          <w:sz w:val="32"/>
          <w:szCs w:val="32"/>
          <w:lang w:eastAsia="zh-Hans"/>
        </w:rPr>
        <w:t>）政府采购与政府购买服务管理规范性不足。劳模体检服务涉及政府采购和政府购买服务，该项目直接指定首都医科大学附属北京康复医院劳模健康管理中心提供服务，且明确两档服务价格，采购管理的决策过程、决策科学性、规范性及成本控制有效性均不足；体检中心的遴选过程资料不够详细；与体检中心签订的合同内容界定不清；合同条款有关双方权利义务细化不足，例如缺少要求乙方对劳模本人参加体检进行严格把关等条款。</w:t>
      </w:r>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hint="eastAsia" w:ascii="Times New Roman" w:hAnsi="Times New Roman"/>
          <w:color w:val="000000"/>
          <w:kern w:val="0"/>
          <w:sz w:val="32"/>
          <w:szCs w:val="32"/>
          <w:lang w:eastAsia="zh-Hans"/>
        </w:rPr>
        <w:t>（</w:t>
      </w:r>
      <w:r>
        <w:rPr>
          <w:rFonts w:ascii="Times New Roman" w:hAnsi="Times New Roman"/>
          <w:color w:val="000000"/>
          <w:kern w:val="0"/>
          <w:sz w:val="32"/>
          <w:szCs w:val="32"/>
          <w:lang w:eastAsia="zh-Hans"/>
        </w:rPr>
        <w:t>3</w:t>
      </w:r>
      <w:r>
        <w:rPr>
          <w:rFonts w:hint="eastAsia" w:ascii="Times New Roman" w:hAnsi="Times New Roman"/>
          <w:color w:val="000000"/>
          <w:kern w:val="0"/>
          <w:sz w:val="32"/>
          <w:szCs w:val="32"/>
          <w:lang w:eastAsia="zh-Hans"/>
        </w:rPr>
        <w:t>）</w:t>
      </w:r>
      <w:r>
        <w:rPr>
          <w:rFonts w:ascii="Times New Roman" w:hAnsi="Times New Roman"/>
          <w:color w:val="000000"/>
          <w:kern w:val="0"/>
          <w:sz w:val="32"/>
          <w:szCs w:val="32"/>
          <w:lang w:eastAsia="zh-CN"/>
        </w:rPr>
        <w:t>预算调整审批手续不够完善，由于疫情影响，劳模疗休养未开展，生活困难帮扶金和特殊困难帮扶金实际执行与预算批复存在不一致现象，预算执行调整手续不够完善。</w:t>
      </w:r>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4）保障措施不够充分。采取统一标准对劳模进行关爱帮扶，未区分劳模所在单位的性质、财力保障能力和保障意愿等因素制定不同的保障措施，例如行政事业单位通常使用基本经费或工会经费对全体在职和离退休职工（包含劳模在内）负担一年一度的体检经费，与</w:t>
      </w:r>
      <w:r>
        <w:rPr>
          <w:rFonts w:hint="eastAsia" w:ascii="Times New Roman" w:hAnsi="Times New Roman"/>
          <w:color w:val="000000"/>
          <w:kern w:val="0"/>
          <w:sz w:val="32"/>
          <w:szCs w:val="32"/>
          <w:lang w:eastAsia="zh-CN"/>
        </w:rPr>
        <w:t>该</w:t>
      </w:r>
      <w:r>
        <w:rPr>
          <w:rFonts w:ascii="Times New Roman" w:hAnsi="Times New Roman"/>
          <w:color w:val="000000"/>
          <w:kern w:val="0"/>
          <w:sz w:val="32"/>
          <w:szCs w:val="32"/>
          <w:lang w:eastAsia="zh-CN"/>
        </w:rPr>
        <w:t>项目内容重复，且资金来源均为北京市财政资金。</w:t>
      </w:r>
      <w:bookmarkEnd w:id="63"/>
      <w:r>
        <w:rPr>
          <w:rFonts w:ascii="Times New Roman" w:hAnsi="Times New Roman"/>
          <w:color w:val="000000"/>
          <w:kern w:val="0"/>
          <w:sz w:val="32"/>
          <w:szCs w:val="32"/>
          <w:lang w:eastAsia="zh-CN"/>
        </w:rPr>
        <w:t>对于劳模的关爱帮扶资金需求，部分使用财政预算资金，部分使用工会经费，</w:t>
      </w:r>
      <w:r>
        <w:rPr>
          <w:rFonts w:hint="eastAsia" w:ascii="Times New Roman" w:hAnsi="Times New Roman"/>
          <w:color w:val="000000"/>
          <w:kern w:val="0"/>
          <w:sz w:val="32"/>
          <w:szCs w:val="32"/>
          <w:lang w:eastAsia="zh-CN"/>
        </w:rPr>
        <w:t>未提供</w:t>
      </w:r>
      <w:r>
        <w:rPr>
          <w:rFonts w:ascii="Times New Roman" w:hAnsi="Times New Roman"/>
          <w:color w:val="000000"/>
          <w:kern w:val="0"/>
          <w:sz w:val="32"/>
          <w:szCs w:val="32"/>
          <w:lang w:eastAsia="zh-CN"/>
        </w:rPr>
        <w:t>所依据的制度，也未作为项目的主要背景在申报文本和绩效报告中进行阐述。</w:t>
      </w:r>
    </w:p>
    <w:p>
      <w:pPr>
        <w:adjustRightInd w:val="0"/>
        <w:spacing w:line="360" w:lineRule="auto"/>
        <w:ind w:firstLine="640"/>
        <w:rPr>
          <w:rFonts w:eastAsia="仿宋_GB2312"/>
          <w:color w:val="000000"/>
          <w:kern w:val="0"/>
          <w:sz w:val="32"/>
          <w:szCs w:val="32"/>
        </w:rPr>
      </w:pPr>
      <w:bookmarkStart w:id="64" w:name="_Toc1660313075"/>
      <w:r>
        <w:rPr>
          <w:rFonts w:eastAsia="仿宋_GB2312"/>
          <w:color w:val="000000"/>
          <w:kern w:val="0"/>
          <w:sz w:val="32"/>
          <w:szCs w:val="32"/>
        </w:rPr>
        <w:t>3.项目绩效方面</w:t>
      </w:r>
      <w:bookmarkEnd w:id="64"/>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（1）未能有效整合、呈现和提供绩效成果支撑资料。缺少对项目从决策、管理到绩效资料的完整归集，反映绩效目标完成情况的证据资料不足，不利于项目绩效目标设定</w:t>
      </w:r>
      <w:r>
        <w:rPr>
          <w:rFonts w:ascii="Times New Roman" w:hAnsi="Times New Roman"/>
          <w:color w:val="000000"/>
          <w:kern w:val="0"/>
          <w:sz w:val="32"/>
          <w:szCs w:val="32"/>
          <w:lang w:eastAsia="zh-Hans"/>
        </w:rPr>
        <w:t>和</w:t>
      </w:r>
      <w:r>
        <w:rPr>
          <w:rFonts w:ascii="Times New Roman" w:hAnsi="Times New Roman"/>
          <w:color w:val="000000"/>
          <w:kern w:val="0"/>
          <w:sz w:val="32"/>
          <w:szCs w:val="32"/>
          <w:lang w:eastAsia="zh-CN"/>
        </w:rPr>
        <w:t>项目管理效率。</w:t>
      </w:r>
    </w:p>
    <w:p>
      <w:pPr>
        <w:pStyle w:val="23"/>
        <w:autoSpaceDN w:val="0"/>
        <w:spacing w:line="360" w:lineRule="auto"/>
        <w:ind w:firstLine="640" w:firstLineChars="200"/>
        <w:jc w:val="both"/>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（2）反映项目实施效果的证据资料不全面</w:t>
      </w:r>
      <w:r>
        <w:rPr>
          <w:rFonts w:ascii="Times New Roman" w:hAnsi="Times New Roman"/>
          <w:color w:val="000000"/>
          <w:kern w:val="0"/>
          <w:sz w:val="32"/>
          <w:szCs w:val="32"/>
          <w:lang w:eastAsia="zh-Hans"/>
        </w:rPr>
        <w:t>。</w:t>
      </w:r>
      <w:r>
        <w:rPr>
          <w:rFonts w:ascii="Times New Roman" w:hAnsi="Times New Roman"/>
          <w:color w:val="000000"/>
          <w:kern w:val="0"/>
          <w:sz w:val="32"/>
          <w:szCs w:val="32"/>
          <w:lang w:eastAsia="zh-CN"/>
        </w:rPr>
        <w:t>服务人群覆盖不完整，</w:t>
      </w:r>
      <w:r>
        <w:rPr>
          <w:rFonts w:hint="eastAsia" w:ascii="Times New Roman" w:hAnsi="Times New Roman"/>
          <w:color w:val="000000"/>
          <w:kern w:val="0"/>
          <w:sz w:val="32"/>
          <w:szCs w:val="32"/>
          <w:lang w:eastAsia="zh-CN"/>
        </w:rPr>
        <w:t>缺少</w:t>
      </w:r>
      <w:r>
        <w:rPr>
          <w:rFonts w:ascii="Times New Roman" w:hAnsi="Times New Roman"/>
          <w:color w:val="000000"/>
          <w:kern w:val="0"/>
          <w:sz w:val="32"/>
          <w:szCs w:val="32"/>
          <w:lang w:eastAsia="zh-CN"/>
        </w:rPr>
        <w:t>对享受到春节慰问、生活困难补助、特殊困难补助的劳模</w:t>
      </w:r>
      <w:r>
        <w:rPr>
          <w:rFonts w:hint="eastAsia" w:ascii="Times New Roman" w:hAnsi="Times New Roman"/>
          <w:color w:val="000000"/>
          <w:kern w:val="0"/>
          <w:sz w:val="32"/>
          <w:szCs w:val="32"/>
          <w:lang w:eastAsia="zh-CN"/>
        </w:rPr>
        <w:t>的</w:t>
      </w:r>
      <w:r>
        <w:rPr>
          <w:rFonts w:ascii="Times New Roman" w:hAnsi="Times New Roman"/>
          <w:color w:val="000000"/>
          <w:kern w:val="0"/>
          <w:sz w:val="32"/>
          <w:szCs w:val="32"/>
          <w:lang w:eastAsia="zh-CN"/>
        </w:rPr>
        <w:t>满意度调查；缺少</w:t>
      </w:r>
      <w:r>
        <w:rPr>
          <w:rFonts w:hint="eastAsia" w:ascii="Times New Roman" w:hAnsi="Times New Roman"/>
          <w:color w:val="000000"/>
          <w:kern w:val="0"/>
          <w:sz w:val="32"/>
          <w:szCs w:val="32"/>
          <w:lang w:eastAsia="zh-CN"/>
        </w:rPr>
        <w:t>项目整体的</w:t>
      </w:r>
      <w:r>
        <w:rPr>
          <w:rFonts w:ascii="Times New Roman" w:hAnsi="Times New Roman"/>
          <w:color w:val="000000"/>
          <w:kern w:val="0"/>
          <w:sz w:val="32"/>
          <w:szCs w:val="32"/>
          <w:lang w:eastAsia="zh-Hans"/>
        </w:rPr>
        <w:t>满意度调查</w:t>
      </w:r>
      <w:r>
        <w:rPr>
          <w:rFonts w:ascii="Times New Roman" w:hAnsi="Times New Roman"/>
          <w:color w:val="000000"/>
          <w:kern w:val="0"/>
          <w:sz w:val="32"/>
          <w:szCs w:val="32"/>
          <w:lang w:eastAsia="zh-CN"/>
        </w:rPr>
        <w:t>统计分析</w:t>
      </w:r>
      <w:r>
        <w:rPr>
          <w:rFonts w:hint="eastAsia" w:ascii="Times New Roman" w:hAnsi="Times New Roman"/>
          <w:color w:val="000000"/>
          <w:kern w:val="0"/>
          <w:sz w:val="32"/>
          <w:szCs w:val="32"/>
          <w:lang w:eastAsia="zh-CN"/>
        </w:rPr>
        <w:t>及往年数据的统计对比，不利于项目的效果呈现</w:t>
      </w:r>
      <w:r>
        <w:rPr>
          <w:rFonts w:ascii="Times New Roman" w:hAnsi="Times New Roman"/>
          <w:color w:val="000000"/>
          <w:kern w:val="0"/>
          <w:sz w:val="32"/>
          <w:szCs w:val="32"/>
          <w:lang w:eastAsia="zh-CN"/>
        </w:rPr>
        <w:t>。</w:t>
      </w:r>
    </w:p>
    <w:p>
      <w:pPr>
        <w:adjustRightInd w:val="0"/>
        <w:spacing w:line="360" w:lineRule="auto"/>
        <w:ind w:firstLine="640"/>
        <w:outlineLvl w:val="0"/>
        <w:rPr>
          <w:rFonts w:eastAsia="黑体"/>
          <w:sz w:val="32"/>
          <w:szCs w:val="32"/>
          <w:lang w:eastAsia="zh-Hans"/>
        </w:rPr>
      </w:pPr>
      <w:bookmarkStart w:id="65" w:name="_Toc18396"/>
      <w:bookmarkStart w:id="66" w:name="_Toc4828"/>
      <w:bookmarkStart w:id="67" w:name="_Toc1096674552"/>
      <w:r>
        <w:rPr>
          <w:rFonts w:eastAsia="黑体"/>
          <w:sz w:val="32"/>
          <w:szCs w:val="32"/>
          <w:lang w:eastAsia="zh-Hans"/>
        </w:rPr>
        <w:t>六、有关建议</w:t>
      </w:r>
      <w:bookmarkEnd w:id="61"/>
      <w:bookmarkEnd w:id="62"/>
      <w:bookmarkEnd w:id="65"/>
      <w:bookmarkEnd w:id="66"/>
      <w:bookmarkEnd w:id="67"/>
    </w:p>
    <w:p>
      <w:pPr>
        <w:adjustRightInd w:val="0"/>
        <w:spacing w:line="360" w:lineRule="auto"/>
        <w:ind w:firstLine="643"/>
        <w:rPr>
          <w:rFonts w:eastAsia="楷体_GB2312"/>
          <w:b/>
          <w:bCs/>
          <w:kern w:val="0"/>
          <w:sz w:val="32"/>
          <w:szCs w:val="32"/>
        </w:rPr>
      </w:pPr>
      <w:bookmarkStart w:id="68" w:name="_Toc13535"/>
      <w:bookmarkStart w:id="69" w:name="_Toc2104536910"/>
      <w:r>
        <w:rPr>
          <w:rFonts w:eastAsia="楷体_GB2312"/>
          <w:b/>
          <w:bCs/>
          <w:kern w:val="0"/>
          <w:sz w:val="32"/>
          <w:szCs w:val="32"/>
        </w:rPr>
        <w:t>（一）项目决策方面</w:t>
      </w:r>
      <w:bookmarkEnd w:id="68"/>
      <w:bookmarkEnd w:id="69"/>
    </w:p>
    <w:p>
      <w:pPr>
        <w:pStyle w:val="23"/>
        <w:autoSpaceDN w:val="0"/>
        <w:spacing w:line="360" w:lineRule="auto"/>
        <w:ind w:firstLine="640" w:firstLineChars="200"/>
        <w:jc w:val="left"/>
        <w:rPr>
          <w:rFonts w:ascii="Times New Roman" w:hAnsi="Times New Roman"/>
          <w:color w:val="000000"/>
          <w:kern w:val="0"/>
          <w:sz w:val="32"/>
          <w:szCs w:val="32"/>
          <w:lang w:eastAsia="zh-CN"/>
        </w:rPr>
      </w:pPr>
      <w:bookmarkStart w:id="70" w:name="_Toc14928"/>
      <w:bookmarkStart w:id="71" w:name="_Toc1896180280"/>
      <w:r>
        <w:rPr>
          <w:rFonts w:ascii="Times New Roman" w:hAnsi="Times New Roman"/>
          <w:color w:val="000000"/>
          <w:kern w:val="0"/>
          <w:sz w:val="32"/>
          <w:szCs w:val="32"/>
          <w:lang w:eastAsia="zh-CN"/>
        </w:rPr>
        <w:t>1.进行充分的前期调研，深入了解劳模现状，及时制定规划和计划，引领和指导年度项目实施，为年</w:t>
      </w:r>
      <w:r>
        <w:rPr>
          <w:rFonts w:hint="eastAsia" w:ascii="Times New Roman" w:hAnsi="Times New Roman"/>
          <w:color w:val="000000"/>
          <w:kern w:val="0"/>
          <w:sz w:val="32"/>
          <w:szCs w:val="32"/>
          <w:lang w:eastAsia="zh-CN"/>
        </w:rPr>
        <w:t>初制定</w:t>
      </w:r>
      <w:r>
        <w:rPr>
          <w:rFonts w:ascii="Times New Roman" w:hAnsi="Times New Roman"/>
          <w:color w:val="000000"/>
          <w:kern w:val="0"/>
          <w:sz w:val="32"/>
          <w:szCs w:val="32"/>
          <w:lang w:eastAsia="zh-CN"/>
        </w:rPr>
        <w:t>预算奠定基础。</w:t>
      </w:r>
    </w:p>
    <w:p>
      <w:pPr>
        <w:pStyle w:val="23"/>
        <w:autoSpaceDN w:val="0"/>
        <w:spacing w:line="360" w:lineRule="auto"/>
        <w:ind w:firstLine="640" w:firstLineChars="200"/>
        <w:jc w:val="left"/>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2.科学有效填写项目绩效目标申报表，各类指标设置要科学有效、细化量化可衡量，对劳模疗休养的活动安排、体检工作安排、补助发放工作部署等，均应填写详细的数量、达到的质量、各项工作开展过程涉及到的各项事宜的进度、各工作的满意度等；绩效指标是衡量项目最终产出的对标文件，其填写需合理有效可测量</w:t>
      </w:r>
      <w:r>
        <w:rPr>
          <w:rFonts w:hint="eastAsia" w:ascii="Times New Roman" w:hAnsi="Times New Roman"/>
          <w:color w:val="000000"/>
          <w:kern w:val="0"/>
          <w:sz w:val="32"/>
          <w:szCs w:val="32"/>
          <w:lang w:eastAsia="zh-Hans"/>
        </w:rPr>
        <w:t>。</w:t>
      </w:r>
    </w:p>
    <w:p>
      <w:pPr>
        <w:pStyle w:val="23"/>
        <w:autoSpaceDN w:val="0"/>
        <w:spacing w:line="360" w:lineRule="auto"/>
        <w:ind w:firstLine="640" w:firstLineChars="200"/>
        <w:jc w:val="left"/>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3.加强预算管理，提高预算编制依据，合理使用财政资金，保证财政资金专款专用，提高财政资金的使用效率；在年初编制预算时，应充分考虑疫情影响，结合上一年度该项工作开展的实际情况，合理安排预算，保证各项工作有序开展，有效执行项目预算，避免大幅度调整或退回财政资金的情况发生，提升预算的科学性。</w:t>
      </w:r>
    </w:p>
    <w:p>
      <w:pPr>
        <w:adjustRightInd w:val="0"/>
        <w:spacing w:line="360" w:lineRule="auto"/>
        <w:ind w:firstLine="643"/>
        <w:rPr>
          <w:rFonts w:eastAsia="楷体_GB2312"/>
          <w:b/>
          <w:bCs/>
          <w:kern w:val="0"/>
          <w:sz w:val="32"/>
          <w:szCs w:val="32"/>
        </w:rPr>
      </w:pPr>
      <w:r>
        <w:rPr>
          <w:rFonts w:eastAsia="楷体_GB2312"/>
          <w:b/>
          <w:bCs/>
          <w:kern w:val="0"/>
          <w:sz w:val="32"/>
          <w:szCs w:val="32"/>
        </w:rPr>
        <w:t>（二）项目过程方面</w:t>
      </w:r>
      <w:bookmarkEnd w:id="70"/>
      <w:bookmarkEnd w:id="71"/>
    </w:p>
    <w:p>
      <w:pPr>
        <w:pStyle w:val="23"/>
        <w:autoSpaceDN w:val="0"/>
        <w:spacing w:line="360" w:lineRule="auto"/>
        <w:ind w:firstLine="640" w:firstLineChars="200"/>
        <w:jc w:val="left"/>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1.提高项目管理规范性和严谨性。做实项目实施方案，详尽说明预算执行情况及项目过程管理情况，并注意资料归集完整性，建议建立项目管理、资金管理办法和要求，完善项目管理模式、明确监管机制</w:t>
      </w:r>
      <w:r>
        <w:rPr>
          <w:rFonts w:hint="eastAsia" w:ascii="Times New Roman" w:hAnsi="Times New Roman"/>
          <w:color w:val="000000"/>
          <w:kern w:val="0"/>
          <w:sz w:val="32"/>
          <w:szCs w:val="32"/>
          <w:lang w:eastAsia="zh-Hans"/>
        </w:rPr>
        <w:t>。</w:t>
      </w:r>
    </w:p>
    <w:p>
      <w:pPr>
        <w:adjustRightInd w:val="0"/>
        <w:spacing w:line="360" w:lineRule="auto"/>
        <w:ind w:firstLine="640"/>
        <w:rPr>
          <w:rFonts w:ascii="Times New Roman" w:hAnsi="Times New Roman"/>
          <w:color w:val="000000"/>
          <w:kern w:val="0"/>
          <w:sz w:val="32"/>
          <w:szCs w:val="32"/>
          <w:lang w:eastAsia="zh-CN"/>
        </w:rPr>
      </w:pPr>
      <w:r>
        <w:rPr>
          <w:rFonts w:eastAsia="仿宋_GB2312"/>
          <w:color w:val="000000"/>
          <w:kern w:val="0"/>
          <w:sz w:val="32"/>
          <w:szCs w:val="32"/>
        </w:rPr>
        <w:t>2.进一步规范政府采购与政府购买服务有关法律、法规和文件的要求，加强对体检服务的需求调研，进一步探讨决策资金共担的合理性，规范政府采购管理，加强单位层面对政府采购决策管理，加强成本管控，加强采购归口管理，避免所有环节集中在业务部门</w:t>
      </w:r>
      <w:r>
        <w:rPr>
          <w:rFonts w:hint="eastAsia" w:eastAsia="仿宋_GB2312"/>
          <w:color w:val="000000"/>
          <w:kern w:val="0"/>
          <w:sz w:val="32"/>
          <w:szCs w:val="32"/>
        </w:rPr>
        <w:t>可能形成</w:t>
      </w:r>
      <w:r>
        <w:rPr>
          <w:rFonts w:eastAsia="仿宋_GB2312"/>
          <w:color w:val="000000"/>
          <w:kern w:val="0"/>
          <w:sz w:val="32"/>
          <w:szCs w:val="32"/>
        </w:rPr>
        <w:t>的不</w:t>
      </w:r>
      <w:r>
        <w:rPr>
          <w:rFonts w:hint="eastAsia" w:eastAsia="仿宋_GB2312"/>
          <w:color w:val="000000"/>
          <w:kern w:val="0"/>
          <w:sz w:val="32"/>
          <w:szCs w:val="32"/>
        </w:rPr>
        <w:t>够</w:t>
      </w:r>
      <w:r>
        <w:rPr>
          <w:rFonts w:eastAsia="仿宋_GB2312"/>
          <w:color w:val="000000"/>
          <w:kern w:val="0"/>
          <w:sz w:val="32"/>
          <w:szCs w:val="32"/>
        </w:rPr>
        <w:t>专业</w:t>
      </w:r>
      <w:r>
        <w:rPr>
          <w:rFonts w:hint="eastAsia" w:eastAsia="仿宋_GB2312"/>
          <w:color w:val="000000"/>
          <w:kern w:val="0"/>
          <w:sz w:val="32"/>
          <w:szCs w:val="32"/>
          <w:lang w:eastAsia="zh-Hans"/>
        </w:rPr>
        <w:t>、</w:t>
      </w:r>
      <w:r>
        <w:rPr>
          <w:rFonts w:eastAsia="仿宋_GB2312"/>
          <w:color w:val="000000"/>
          <w:kern w:val="0"/>
          <w:sz w:val="32"/>
          <w:szCs w:val="32"/>
        </w:rPr>
        <w:t>不</w:t>
      </w:r>
      <w:r>
        <w:rPr>
          <w:rFonts w:hint="eastAsia" w:eastAsia="仿宋_GB2312"/>
          <w:color w:val="000000"/>
          <w:kern w:val="0"/>
          <w:sz w:val="32"/>
          <w:szCs w:val="32"/>
        </w:rPr>
        <w:t>够</w:t>
      </w:r>
      <w:r>
        <w:rPr>
          <w:rFonts w:eastAsia="仿宋_GB2312"/>
          <w:color w:val="000000"/>
          <w:kern w:val="0"/>
          <w:sz w:val="32"/>
          <w:szCs w:val="32"/>
        </w:rPr>
        <w:t>规范等管理风险。加强体检中心的遴选过程资料存档，与体检中心签订的合同内容要明确，责任义务要界定清楚，以便更好的履行合同内容。</w:t>
      </w:r>
    </w:p>
    <w:p>
      <w:pPr>
        <w:pStyle w:val="23"/>
        <w:autoSpaceDN w:val="0"/>
        <w:spacing w:line="360" w:lineRule="auto"/>
        <w:ind w:firstLine="640" w:firstLineChars="200"/>
        <w:jc w:val="left"/>
        <w:rPr>
          <w:rFonts w:ascii="Times New Roman" w:hAnsi="Times New Roman"/>
          <w:color w:val="000000"/>
          <w:kern w:val="0"/>
          <w:sz w:val="32"/>
          <w:szCs w:val="32"/>
          <w:lang w:eastAsia="zh-CN"/>
        </w:rPr>
      </w:pPr>
      <w:r>
        <w:rPr>
          <w:rFonts w:ascii="Times New Roman" w:hAnsi="Times New Roman"/>
          <w:color w:val="000000"/>
          <w:kern w:val="0"/>
          <w:sz w:val="32"/>
          <w:szCs w:val="32"/>
          <w:lang w:eastAsia="zh-CN"/>
        </w:rPr>
        <w:t>3.落实主体</w:t>
      </w:r>
      <w:r>
        <w:rPr>
          <w:rFonts w:hint="eastAsia" w:ascii="Times New Roman" w:hAnsi="Times New Roman"/>
          <w:color w:val="000000"/>
          <w:kern w:val="0"/>
          <w:sz w:val="32"/>
          <w:szCs w:val="32"/>
          <w:lang w:eastAsia="zh-Hans"/>
        </w:rPr>
        <w:t>责任</w:t>
      </w:r>
      <w:r>
        <w:rPr>
          <w:rFonts w:ascii="Times New Roman" w:hAnsi="Times New Roman"/>
          <w:color w:val="000000"/>
          <w:kern w:val="0"/>
          <w:sz w:val="32"/>
          <w:szCs w:val="32"/>
          <w:lang w:eastAsia="zh-CN"/>
        </w:rPr>
        <w:t>，提高绩效管理工作质量，建议结合 《北京市工会困难职工帮扶工作实施办法》《北京市工会帮扶资金使用管理办法》要求，明确政策年度目标、说明年度补助标准及比例情况，提高</w:t>
      </w:r>
      <w:r>
        <w:rPr>
          <w:rFonts w:hint="eastAsia" w:ascii="Times New Roman" w:hAnsi="Times New Roman"/>
          <w:color w:val="000000"/>
          <w:kern w:val="0"/>
          <w:sz w:val="32"/>
          <w:szCs w:val="32"/>
          <w:lang w:eastAsia="zh-CN"/>
        </w:rPr>
        <w:t>项目的</w:t>
      </w:r>
      <w:r>
        <w:rPr>
          <w:rFonts w:ascii="Times New Roman" w:hAnsi="Times New Roman"/>
          <w:color w:val="000000"/>
          <w:kern w:val="0"/>
          <w:sz w:val="32"/>
          <w:szCs w:val="32"/>
          <w:lang w:eastAsia="zh-CN"/>
        </w:rPr>
        <w:t>时效性和可评价性</w:t>
      </w:r>
      <w:r>
        <w:rPr>
          <w:rFonts w:hint="eastAsia" w:ascii="Times New Roman" w:hAnsi="Times New Roman"/>
          <w:color w:val="000000"/>
          <w:kern w:val="0"/>
          <w:sz w:val="32"/>
          <w:szCs w:val="32"/>
          <w:lang w:eastAsia="zh-Hans"/>
        </w:rPr>
        <w:t>。</w:t>
      </w:r>
    </w:p>
    <w:p>
      <w:pPr>
        <w:adjustRightInd w:val="0"/>
        <w:spacing w:line="360" w:lineRule="auto"/>
        <w:ind w:firstLine="643"/>
        <w:rPr>
          <w:rFonts w:eastAsia="楷体_GB2312"/>
          <w:b/>
          <w:bCs/>
          <w:kern w:val="0"/>
          <w:sz w:val="32"/>
          <w:szCs w:val="32"/>
        </w:rPr>
      </w:pPr>
      <w:bookmarkStart w:id="72" w:name="_Toc12736"/>
      <w:r>
        <w:rPr>
          <w:rFonts w:eastAsia="楷体_GB2312"/>
          <w:b/>
          <w:bCs/>
          <w:kern w:val="0"/>
          <w:sz w:val="32"/>
          <w:szCs w:val="32"/>
        </w:rPr>
        <w:t>（三）项目绩效方面</w:t>
      </w:r>
      <w:bookmarkEnd w:id="72"/>
    </w:p>
    <w:p>
      <w:pPr>
        <w:adjustRightInd w:val="0"/>
        <w:spacing w:line="360" w:lineRule="auto"/>
        <w:ind w:firstLine="640"/>
        <w:rPr>
          <w:rFonts w:eastAsia="仿宋_GB2312"/>
          <w:color w:val="000000"/>
          <w:kern w:val="0"/>
          <w:sz w:val="32"/>
          <w:szCs w:val="32"/>
        </w:rPr>
      </w:pPr>
      <w:r>
        <w:rPr>
          <w:rFonts w:eastAsia="仿宋_GB2312"/>
          <w:color w:val="000000"/>
          <w:kern w:val="0"/>
          <w:sz w:val="32"/>
          <w:szCs w:val="32"/>
        </w:rPr>
        <w:t>1.树立绩效管理意识，及时归集各种绩效资料</w:t>
      </w:r>
      <w:r>
        <w:rPr>
          <w:rFonts w:eastAsia="仿宋_GB2312"/>
          <w:color w:val="000000"/>
          <w:kern w:val="0"/>
          <w:sz w:val="32"/>
          <w:szCs w:val="32"/>
          <w:lang w:eastAsia="zh-Hans"/>
        </w:rPr>
        <w:t>，</w:t>
      </w:r>
      <w:r>
        <w:rPr>
          <w:rFonts w:eastAsia="仿宋_GB2312"/>
          <w:color w:val="000000"/>
          <w:kern w:val="0"/>
          <w:sz w:val="32"/>
          <w:szCs w:val="32"/>
        </w:rPr>
        <w:t>注重绩效资料梳理和数据统计分析，充分展示项目实施效果。</w:t>
      </w:r>
    </w:p>
    <w:p>
      <w:pPr>
        <w:adjustRightInd w:val="0"/>
        <w:spacing w:line="360" w:lineRule="auto"/>
        <w:ind w:firstLine="640"/>
        <w:rPr>
          <w:rFonts w:eastAsia="黑体"/>
          <w:sz w:val="32"/>
          <w:szCs w:val="32"/>
          <w:lang w:eastAsia="zh-Hans"/>
        </w:rPr>
      </w:pPr>
      <w:r>
        <w:rPr>
          <w:rFonts w:eastAsia="仿宋_GB2312"/>
          <w:color w:val="000000"/>
          <w:kern w:val="0"/>
          <w:sz w:val="32"/>
          <w:szCs w:val="32"/>
        </w:rPr>
        <w:t>2.重视项目绩效呈现</w:t>
      </w:r>
      <w:r>
        <w:rPr>
          <w:rFonts w:eastAsia="仿宋_GB2312"/>
          <w:color w:val="000000"/>
          <w:kern w:val="0"/>
          <w:sz w:val="32"/>
          <w:szCs w:val="32"/>
          <w:lang w:eastAsia="zh-Hans"/>
        </w:rPr>
        <w:t>。科学设定调查问卷，明确服务对象，及时进行满意度调查，并</w:t>
      </w:r>
      <w:r>
        <w:rPr>
          <w:rFonts w:eastAsia="仿宋_GB2312"/>
          <w:color w:val="000000"/>
          <w:kern w:val="0"/>
          <w:sz w:val="32"/>
          <w:szCs w:val="32"/>
        </w:rPr>
        <w:t>形成调查分析报告，作为项目优化管理和持续决策的参考。</w:t>
      </w:r>
      <w:bookmarkStart w:id="73" w:name="_Toc2716"/>
      <w:bookmarkStart w:id="74" w:name="_Toc11413"/>
    </w:p>
    <w:p>
      <w:pPr>
        <w:adjustRightInd w:val="0"/>
        <w:spacing w:line="360" w:lineRule="auto"/>
        <w:ind w:firstLine="640"/>
        <w:outlineLvl w:val="0"/>
        <w:rPr>
          <w:rFonts w:eastAsia="黑体"/>
          <w:sz w:val="32"/>
          <w:szCs w:val="32"/>
          <w:lang w:eastAsia="zh-Hans"/>
        </w:rPr>
      </w:pPr>
      <w:r>
        <w:rPr>
          <w:rFonts w:eastAsia="黑体"/>
          <w:sz w:val="32"/>
          <w:szCs w:val="32"/>
          <w:lang w:eastAsia="zh-Hans"/>
        </w:rPr>
        <w:t>七、其他需要说明的问题</w:t>
      </w:r>
      <w:bookmarkEnd w:id="73"/>
      <w:bookmarkEnd w:id="74"/>
    </w:p>
    <w:p>
      <w:pPr>
        <w:spacing w:line="360" w:lineRule="auto"/>
        <w:ind w:firstLine="640"/>
        <w:rPr>
          <w:rFonts w:eastAsia="仿宋_GB2312"/>
          <w:bCs/>
          <w:sz w:val="32"/>
          <w:szCs w:val="32"/>
        </w:rPr>
      </w:pPr>
      <w:r>
        <w:rPr>
          <w:rFonts w:hint="eastAsia" w:eastAsia="仿宋_GB2312"/>
          <w:color w:val="000000"/>
          <w:kern w:val="0"/>
          <w:sz w:val="32"/>
          <w:szCs w:val="32"/>
        </w:rPr>
        <w:t>按照相关要求，本次绩效评价工作根据《北京市项目支出绩效评价管理办法》（京财绩效〔2020〕2146号）进行评价指标设定，以项目单位自评报告及提交有关资料为基础，结合专家意见形成评价结论，项目单位对提交资料的完整性、准确性、有效性、真实性负责，财务支出及管理过程资料进行抽凭（查），相关数据未进行逐一核实，有关问题已与项目单位进行了充分沟通并达成一致。</w:t>
      </w:r>
    </w:p>
    <w:p>
      <w:pPr>
        <w:spacing w:line="360" w:lineRule="auto"/>
        <w:ind w:firstLine="640"/>
        <w:rPr>
          <w:rFonts w:eastAsia="仿宋_GB2312"/>
          <w:bCs/>
          <w:sz w:val="32"/>
          <w:szCs w:val="32"/>
        </w:rPr>
      </w:pPr>
      <w:r>
        <w:rPr>
          <w:rFonts w:eastAsia="仿宋_GB2312"/>
          <w:bCs/>
          <w:sz w:val="32"/>
          <w:szCs w:val="32"/>
        </w:rPr>
        <w:t>附件：1.项目预算执行情况表</w:t>
      </w:r>
    </w:p>
    <w:p>
      <w:pPr>
        <w:spacing w:line="360" w:lineRule="auto"/>
        <w:ind w:firstLine="1600" w:firstLineChars="500"/>
        <w:rPr>
          <w:rFonts w:eastAsia="仿宋_GB2312"/>
          <w:bCs/>
          <w:sz w:val="32"/>
          <w:szCs w:val="32"/>
        </w:rPr>
      </w:pPr>
      <w:r>
        <w:rPr>
          <w:rFonts w:eastAsia="仿宋_GB2312"/>
          <w:bCs/>
          <w:sz w:val="32"/>
          <w:szCs w:val="32"/>
        </w:rPr>
        <w:t>2.项目绩效目标完成情况及收支明细表</w:t>
      </w:r>
    </w:p>
    <w:p>
      <w:pPr>
        <w:spacing w:line="360" w:lineRule="auto"/>
        <w:ind w:firstLine="1600" w:firstLineChars="500"/>
        <w:rPr>
          <w:rFonts w:eastAsia="仿宋_GB2312"/>
          <w:bCs/>
          <w:sz w:val="32"/>
          <w:szCs w:val="32"/>
        </w:rPr>
      </w:pPr>
      <w:r>
        <w:rPr>
          <w:rFonts w:hint="eastAsia" w:eastAsia="仿宋_GB2312"/>
          <w:bCs/>
          <w:sz w:val="32"/>
          <w:szCs w:val="32"/>
        </w:rPr>
        <w:t>3</w:t>
      </w:r>
      <w:r>
        <w:rPr>
          <w:rFonts w:eastAsia="仿宋_GB2312"/>
          <w:bCs/>
          <w:sz w:val="32"/>
          <w:szCs w:val="32"/>
        </w:rPr>
        <w:t>.专家意见汇总书</w:t>
      </w:r>
    </w:p>
    <w:p>
      <w:pPr>
        <w:spacing w:line="360" w:lineRule="auto"/>
        <w:ind w:firstLine="1600" w:firstLineChars="500"/>
        <w:rPr>
          <w:rFonts w:eastAsia="仿宋_GB2312"/>
          <w:bCs/>
          <w:sz w:val="32"/>
          <w:szCs w:val="32"/>
        </w:rPr>
      </w:pPr>
      <w:r>
        <w:rPr>
          <w:rFonts w:hint="eastAsia" w:eastAsia="仿宋_GB2312"/>
          <w:bCs/>
          <w:sz w:val="32"/>
          <w:szCs w:val="32"/>
        </w:rPr>
        <w:t>4</w:t>
      </w:r>
      <w:r>
        <w:rPr>
          <w:rFonts w:eastAsia="仿宋_GB2312"/>
          <w:bCs/>
          <w:sz w:val="32"/>
          <w:szCs w:val="32"/>
        </w:rPr>
        <w:t>.指标体系及打分情况表</w:t>
      </w:r>
    </w:p>
    <w:p>
      <w:pPr>
        <w:spacing w:line="360" w:lineRule="auto"/>
        <w:ind w:firstLine="1600" w:firstLineChars="500"/>
        <w:rPr>
          <w:rFonts w:eastAsia="仿宋_GB2312"/>
          <w:bCs/>
          <w:sz w:val="32"/>
          <w:szCs w:val="32"/>
        </w:rPr>
      </w:pPr>
      <w:r>
        <w:rPr>
          <w:rFonts w:hint="eastAsia" w:eastAsia="仿宋_GB2312"/>
          <w:bCs/>
          <w:sz w:val="32"/>
          <w:szCs w:val="32"/>
        </w:rPr>
        <w:t>5.绩效评价报告意见反馈表</w:t>
      </w:r>
    </w:p>
    <w:p>
      <w:pPr>
        <w:spacing w:line="360" w:lineRule="auto"/>
        <w:ind w:firstLine="1600" w:firstLineChars="500"/>
        <w:rPr>
          <w:rFonts w:eastAsia="仿宋_GB2312"/>
          <w:bCs/>
          <w:kern w:val="0"/>
          <w:sz w:val="32"/>
          <w:szCs w:val="28"/>
        </w:rPr>
        <w:sectPr>
          <w:headerReference r:id="rId7" w:type="default"/>
          <w:footerReference r:id="rId8" w:type="default"/>
          <w:pgSz w:w="11910" w:h="16840"/>
          <w:pgMar w:top="1440" w:right="1803" w:bottom="1440" w:left="1803" w:header="720" w:footer="720" w:gutter="0"/>
          <w:pgNumType w:fmt="decimal" w:start="1"/>
          <w:cols w:space="720" w:num="1"/>
        </w:sectPr>
      </w:pPr>
      <w:r>
        <w:rPr>
          <w:rFonts w:hint="eastAsia" w:eastAsia="仿宋_GB2312"/>
          <w:bCs/>
          <w:sz w:val="32"/>
          <w:szCs w:val="32"/>
        </w:rPr>
        <w:t>6</w:t>
      </w:r>
      <w:r>
        <w:rPr>
          <w:rFonts w:eastAsia="仿宋_GB2312"/>
          <w:bCs/>
          <w:sz w:val="32"/>
          <w:szCs w:val="32"/>
        </w:rPr>
        <w:t>.反映绩效的</w:t>
      </w:r>
      <w:r>
        <w:rPr>
          <w:rFonts w:eastAsia="仿宋_GB2312"/>
          <w:bCs/>
          <w:kern w:val="0"/>
          <w:sz w:val="32"/>
          <w:szCs w:val="28"/>
        </w:rPr>
        <w:t>相关图片（2幅，扉页位置）</w:t>
      </w:r>
      <w:bookmarkEnd w:id="53"/>
    </w:p>
    <w:p>
      <w:pPr>
        <w:pStyle w:val="27"/>
        <w:autoSpaceDN w:val="0"/>
        <w:spacing w:after="159" w:afterLines="50"/>
        <w:ind w:firstLine="0"/>
        <w:jc w:val="left"/>
        <w:rPr>
          <w:rFonts w:ascii="黑体" w:hAnsi="黑体" w:eastAsia="黑体" w:cs="黑体"/>
          <w:bCs/>
          <w:sz w:val="32"/>
          <w:szCs w:val="32"/>
        </w:rPr>
      </w:pPr>
      <w:r>
        <w:rPr>
          <w:rFonts w:hint="eastAsia" w:ascii="黑体" w:hAnsi="黑体" w:eastAsia="黑体" w:cs="黑体"/>
          <w:bCs/>
          <w:sz w:val="32"/>
          <w:szCs w:val="32"/>
        </w:rPr>
        <w:t>附件1</w:t>
      </w:r>
    </w:p>
    <w:p>
      <w:pPr>
        <w:pStyle w:val="27"/>
        <w:autoSpaceDN w:val="0"/>
        <w:spacing w:after="159" w:afterLines="50"/>
        <w:ind w:firstLine="0"/>
        <w:jc w:val="center"/>
        <w:rPr>
          <w:bCs/>
          <w:szCs w:val="28"/>
        </w:rPr>
      </w:pPr>
      <w:r>
        <w:rPr>
          <w:rFonts w:hint="eastAsia" w:ascii="仿宋_GB2312"/>
          <w:bCs/>
          <w:sz w:val="32"/>
          <w:szCs w:val="32"/>
        </w:rPr>
        <w:t>北京市总工会劳模工作部202</w:t>
      </w:r>
      <w:r>
        <w:rPr>
          <w:rFonts w:ascii="仿宋_GB2312"/>
          <w:bCs/>
          <w:sz w:val="32"/>
          <w:szCs w:val="32"/>
        </w:rPr>
        <w:t>1</w:t>
      </w:r>
      <w:r>
        <w:rPr>
          <w:rFonts w:hint="eastAsia" w:ascii="仿宋_GB2312"/>
          <w:bCs/>
          <w:sz w:val="32"/>
          <w:szCs w:val="32"/>
        </w:rPr>
        <w:t>年度“市级劳模专项补助资金”项目预算执行情况表</w:t>
      </w:r>
    </w:p>
    <w:p>
      <w:pPr>
        <w:pStyle w:val="27"/>
        <w:ind w:firstLine="0"/>
        <w:rPr>
          <w:rFonts w:ascii="宋体" w:hAnsi="宋体"/>
          <w:sz w:val="24"/>
          <w:szCs w:val="24"/>
        </w:rPr>
      </w:pPr>
      <w:r>
        <w:rPr>
          <w:rFonts w:hint="eastAsia" w:ascii="宋体" w:hAnsi="宋体"/>
          <w:sz w:val="24"/>
          <w:szCs w:val="24"/>
        </w:rPr>
        <w:t>填报单位（盖章）：</w:t>
      </w:r>
      <w:r>
        <w:rPr>
          <w:rFonts w:hint="eastAsia" w:ascii="宋体" w:hAnsi="宋体"/>
          <w:sz w:val="24"/>
          <w:szCs w:val="24"/>
        </w:rPr>
        <w:tab/>
      </w:r>
      <w:r>
        <w:rPr>
          <w:rFonts w:hint="eastAsia" w:ascii="宋体" w:hAnsi="宋体"/>
          <w:sz w:val="24"/>
          <w:szCs w:val="24"/>
        </w:rPr>
        <w:tab/>
      </w:r>
      <w:r>
        <w:rPr>
          <w:rFonts w:hint="eastAsia" w:ascii="宋体" w:hAnsi="宋体"/>
          <w:sz w:val="24"/>
          <w:szCs w:val="24"/>
        </w:rPr>
        <w:tab/>
      </w:r>
      <w:r>
        <w:rPr>
          <w:rFonts w:hint="eastAsia" w:ascii="宋体" w:hAnsi="宋体"/>
          <w:sz w:val="24"/>
          <w:szCs w:val="24"/>
        </w:rPr>
        <w:tab/>
      </w:r>
      <w:r>
        <w:rPr>
          <w:rFonts w:hint="eastAsia" w:ascii="宋体" w:hAnsi="宋体"/>
          <w:sz w:val="24"/>
          <w:szCs w:val="24"/>
        </w:rPr>
        <w:t xml:space="preserve">                       审核人：   </w:t>
      </w:r>
      <w:r>
        <w:rPr>
          <w:rFonts w:hint="eastAsia" w:ascii="宋体" w:hAnsi="宋体"/>
          <w:sz w:val="24"/>
          <w:szCs w:val="24"/>
        </w:rPr>
        <w:tab/>
      </w:r>
      <w:r>
        <w:rPr>
          <w:rFonts w:hint="eastAsia" w:ascii="宋体" w:hAnsi="宋体"/>
          <w:sz w:val="24"/>
          <w:szCs w:val="24"/>
        </w:rPr>
        <w:t xml:space="preserve">                                     单位：万元</w:t>
      </w:r>
      <w:r>
        <w:rPr>
          <w:rFonts w:hint="eastAsia" w:ascii="宋体" w:hAnsi="宋体"/>
          <w:sz w:val="24"/>
          <w:szCs w:val="24"/>
        </w:rPr>
        <w:tab/>
      </w:r>
    </w:p>
    <w:tbl>
      <w:tblPr>
        <w:tblStyle w:val="19"/>
        <w:tblW w:w="0" w:type="auto"/>
        <w:tblInd w:w="0" w:type="dxa"/>
        <w:tblLayout w:type="fixed"/>
        <w:tblCellMar>
          <w:top w:w="15" w:type="dxa"/>
          <w:left w:w="15" w:type="dxa"/>
          <w:bottom w:w="15" w:type="dxa"/>
          <w:right w:w="15" w:type="dxa"/>
        </w:tblCellMar>
      </w:tblPr>
      <w:tblGrid>
        <w:gridCol w:w="2425"/>
        <w:gridCol w:w="932"/>
        <w:gridCol w:w="1170"/>
        <w:gridCol w:w="915"/>
        <w:gridCol w:w="945"/>
        <w:gridCol w:w="870"/>
        <w:gridCol w:w="945"/>
        <w:gridCol w:w="1050"/>
        <w:gridCol w:w="2865"/>
        <w:gridCol w:w="798"/>
        <w:gridCol w:w="708"/>
      </w:tblGrid>
      <w:tr>
        <w:trPr>
          <w:trHeight w:val="510" w:hRule="atLeast"/>
        </w:trPr>
        <w:tc>
          <w:tcPr>
            <w:tcW w:w="242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w:t>
            </w:r>
          </w:p>
        </w:tc>
        <w:tc>
          <w:tcPr>
            <w:tcW w:w="932"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预算批复</w:t>
            </w:r>
          </w:p>
        </w:tc>
        <w:tc>
          <w:tcPr>
            <w:tcW w:w="117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资金到位情况</w:t>
            </w:r>
          </w:p>
        </w:tc>
        <w:tc>
          <w:tcPr>
            <w:tcW w:w="2730" w:type="dxa"/>
            <w:gridSpan w:val="3"/>
            <w:tcBorders>
              <w:top w:val="single" w:color="000000" w:sz="4" w:space="0"/>
              <w:left w:val="single" w:color="000000" w:sz="4" w:space="0"/>
              <w:bottom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预算执行情况</w:t>
            </w:r>
          </w:p>
        </w:tc>
        <w:tc>
          <w:tcPr>
            <w:tcW w:w="94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本年支出进度（%）</w:t>
            </w:r>
          </w:p>
        </w:tc>
        <w:tc>
          <w:tcPr>
            <w:tcW w:w="3915"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执行差额</w:t>
            </w:r>
          </w:p>
        </w:tc>
        <w:tc>
          <w:tcPr>
            <w:tcW w:w="798" w:type="dxa"/>
            <w:vMerge w:val="restart"/>
            <w:tcBorders>
              <w:top w:val="single" w:color="000000" w:sz="4" w:space="0"/>
              <w:left w:val="single" w:color="000000" w:sz="4" w:space="0"/>
              <w:right w:val="single" w:color="000000" w:sz="4" w:space="0"/>
            </w:tcBorders>
            <w:vAlign w:val="center"/>
          </w:tcPr>
          <w:p>
            <w:pPr>
              <w:widowControl/>
              <w:jc w:val="center"/>
              <w:textAlignment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资金超支率（%）</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备注</w:t>
            </w:r>
          </w:p>
        </w:tc>
      </w:tr>
      <w:tr>
        <w:trPr>
          <w:trHeight w:val="1180" w:hRule="atLeast"/>
        </w:trPr>
        <w:tc>
          <w:tcPr>
            <w:tcW w:w="242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932"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117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91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合计</w:t>
            </w:r>
          </w:p>
        </w:tc>
        <w:tc>
          <w:tcPr>
            <w:tcW w:w="94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本年支出</w:t>
            </w:r>
          </w:p>
        </w:tc>
        <w:tc>
          <w:tcPr>
            <w:tcW w:w="8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000000"/>
                <w:sz w:val="20"/>
                <w:szCs w:val="20"/>
              </w:rPr>
            </w:pPr>
            <w:r>
              <w:rPr>
                <w:rFonts w:hint="eastAsia" w:ascii="宋体" w:hAnsi="宋体" w:cs="宋体"/>
                <w:color w:val="000000"/>
                <w:sz w:val="20"/>
                <w:szCs w:val="20"/>
              </w:rPr>
              <w:t>跨年支出</w:t>
            </w:r>
          </w:p>
        </w:tc>
        <w:tc>
          <w:tcPr>
            <w:tcW w:w="94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ascii="宋体" w:hAnsi="Times New Roman" w:eastAsia="宋体" w:cs="宋体"/>
                <w:color w:val="000000"/>
                <w:sz w:val="18"/>
                <w:szCs w:val="18"/>
                <w:lang w:eastAsia="zh-CN"/>
              </w:rPr>
            </w:pPr>
            <w:r>
              <w:rPr>
                <w:rFonts w:hint="eastAsia" w:ascii="宋体" w:hAnsi="Times New Roman" w:eastAsia="宋体" w:cs="宋体"/>
                <w:color w:val="000000"/>
                <w:sz w:val="18"/>
                <w:szCs w:val="18"/>
                <w:lang w:eastAsia="zh-CN"/>
              </w:rPr>
              <w:t>执行差额数</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23"/>
              <w:rPr>
                <w:rFonts w:ascii="宋体" w:hAnsi="Times New Roman" w:eastAsia="宋体" w:cs="宋体"/>
                <w:color w:val="000000"/>
                <w:sz w:val="18"/>
                <w:szCs w:val="18"/>
                <w:lang w:eastAsia="zh-CN"/>
              </w:rPr>
            </w:pPr>
            <w:r>
              <w:rPr>
                <w:rFonts w:hint="eastAsia" w:ascii="宋体" w:hAnsi="Times New Roman" w:eastAsia="宋体" w:cs="宋体"/>
                <w:color w:val="000000"/>
                <w:sz w:val="18"/>
                <w:szCs w:val="18"/>
                <w:lang w:eastAsia="zh-CN"/>
              </w:rPr>
              <w:t>差额原因</w:t>
            </w:r>
          </w:p>
        </w:tc>
        <w:tc>
          <w:tcPr>
            <w:tcW w:w="798" w:type="dxa"/>
            <w:vMerge w:val="continue"/>
            <w:tcBorders>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r>
      <w:tr>
        <w:trPr>
          <w:trHeight w:val="420" w:hRule="atLeast"/>
        </w:trPr>
        <w:tc>
          <w:tcPr>
            <w:tcW w:w="242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sz w:val="18"/>
                <w:szCs w:val="18"/>
              </w:rPr>
            </w:pPr>
          </w:p>
        </w:tc>
        <w:tc>
          <w:tcPr>
            <w:tcW w:w="932"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kern w:val="0"/>
                <w:sz w:val="18"/>
                <w:szCs w:val="18"/>
                <w:lang w:bidi="ar"/>
              </w:rPr>
              <w:t>1</w:t>
            </w:r>
          </w:p>
        </w:tc>
        <w:tc>
          <w:tcPr>
            <w:tcW w:w="1170"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kern w:val="0"/>
                <w:sz w:val="18"/>
                <w:szCs w:val="18"/>
                <w:lang w:bidi="ar"/>
              </w:rPr>
              <w:t>2</w:t>
            </w:r>
          </w:p>
        </w:tc>
        <w:tc>
          <w:tcPr>
            <w:tcW w:w="915"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kern w:val="0"/>
                <w:sz w:val="18"/>
                <w:szCs w:val="18"/>
                <w:lang w:bidi="ar"/>
              </w:rPr>
              <w:t>3</w:t>
            </w:r>
          </w:p>
        </w:tc>
        <w:tc>
          <w:tcPr>
            <w:tcW w:w="945" w:type="dxa"/>
            <w:tcBorders>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sz w:val="18"/>
                <w:szCs w:val="18"/>
              </w:rPr>
              <w:t>4</w:t>
            </w:r>
          </w:p>
        </w:tc>
        <w:tc>
          <w:tcPr>
            <w:tcW w:w="870"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kern w:val="0"/>
                <w:sz w:val="18"/>
                <w:szCs w:val="18"/>
                <w:lang w:bidi="ar"/>
              </w:rPr>
              <w:t>5</w:t>
            </w:r>
          </w:p>
        </w:tc>
        <w:tc>
          <w:tcPr>
            <w:tcW w:w="945"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kern w:val="0"/>
                <w:sz w:val="18"/>
                <w:szCs w:val="18"/>
                <w:lang w:bidi="ar"/>
              </w:rPr>
              <w:t>6</w:t>
            </w:r>
          </w:p>
        </w:tc>
        <w:tc>
          <w:tcPr>
            <w:tcW w:w="1050"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sz w:val="18"/>
                <w:szCs w:val="18"/>
              </w:rPr>
              <w:t>7</w:t>
            </w:r>
          </w:p>
        </w:tc>
        <w:tc>
          <w:tcPr>
            <w:tcW w:w="2865"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sz w:val="18"/>
                <w:szCs w:val="18"/>
              </w:rPr>
              <w:t>8</w:t>
            </w:r>
          </w:p>
        </w:tc>
        <w:tc>
          <w:tcPr>
            <w:tcW w:w="798"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kern w:val="0"/>
                <w:sz w:val="18"/>
                <w:szCs w:val="18"/>
                <w:lang w:bidi="ar"/>
              </w:rPr>
            </w:pPr>
            <w:r>
              <w:rPr>
                <w:rFonts w:hint="default" w:ascii="Times New Roman Regular" w:hAnsi="Times New Roman Regular" w:cs="Times New Roman Regular"/>
                <w:color w:val="000000"/>
                <w:kern w:val="0"/>
                <w:sz w:val="18"/>
                <w:szCs w:val="18"/>
                <w:lang w:bidi="ar"/>
              </w:rPr>
              <w:t>9</w:t>
            </w:r>
          </w:p>
        </w:tc>
        <w:tc>
          <w:tcPr>
            <w:tcW w:w="708" w:type="dxa"/>
            <w:tcBorders>
              <w:bottom w:val="single" w:color="000000" w:sz="4" w:space="0"/>
              <w:right w:val="single" w:color="000000" w:sz="4" w:space="0"/>
            </w:tcBorders>
            <w:vAlign w:val="center"/>
          </w:tcPr>
          <w:p>
            <w:pPr>
              <w:widowControl/>
              <w:jc w:val="center"/>
              <w:textAlignment w:val="center"/>
              <w:rPr>
                <w:rFonts w:hint="default" w:ascii="Times New Roman Regular" w:hAnsi="Times New Roman Regular" w:cs="Times New Roman Regular"/>
                <w:color w:val="000000"/>
                <w:sz w:val="18"/>
                <w:szCs w:val="18"/>
              </w:rPr>
            </w:pPr>
            <w:r>
              <w:rPr>
                <w:rFonts w:hint="default" w:ascii="Times New Roman Regular" w:hAnsi="Times New Roman Regular" w:cs="Times New Roman Regular"/>
                <w:color w:val="000000"/>
                <w:sz w:val="18"/>
                <w:szCs w:val="18"/>
              </w:rPr>
              <w:t>10</w:t>
            </w:r>
          </w:p>
        </w:tc>
      </w:tr>
      <w:tr>
        <w:trPr>
          <w:trHeight w:val="420" w:hRule="atLeast"/>
        </w:trPr>
        <w:tc>
          <w:tcPr>
            <w:tcW w:w="2425" w:type="dxa"/>
            <w:tcBorders>
              <w:top w:val="single" w:color="000000" w:sz="4" w:space="0"/>
              <w:left w:val="single" w:color="000000" w:sz="4" w:space="0"/>
              <w:bottom w:val="single" w:color="000000" w:sz="4" w:space="0"/>
              <w:right w:val="single" w:color="000000" w:sz="4" w:space="0"/>
            </w:tcBorders>
            <w:vAlign w:val="center"/>
          </w:tcPr>
          <w:p>
            <w:pPr>
              <w:widowControl/>
              <w:ind w:firstLine="1000" w:firstLineChars="500"/>
              <w:textAlignment w:val="center"/>
              <w:rPr>
                <w:rFonts w:ascii="宋体" w:hAnsi="宋体" w:cs="宋体"/>
                <w:color w:val="000000"/>
                <w:sz w:val="20"/>
                <w:szCs w:val="20"/>
              </w:rPr>
            </w:pPr>
            <w:r>
              <w:rPr>
                <w:rFonts w:hint="eastAsia" w:ascii="宋体" w:hAnsi="宋体" w:cs="宋体"/>
                <w:color w:val="000000"/>
                <w:kern w:val="0"/>
                <w:sz w:val="20"/>
                <w:szCs w:val="20"/>
                <w:lang w:bidi="ar"/>
              </w:rPr>
              <w:t>合计</w:t>
            </w:r>
          </w:p>
        </w:tc>
        <w:tc>
          <w:tcPr>
            <w:tcW w:w="932" w:type="dxa"/>
            <w:tcBorders>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bCs/>
                <w:color w:val="000000"/>
                <w:sz w:val="20"/>
                <w:szCs w:val="20"/>
              </w:rPr>
            </w:pPr>
            <w:r>
              <w:rPr>
                <w:rFonts w:hint="default" w:ascii="Times New Roman Regular" w:hAnsi="Times New Roman Regular" w:cs="Times New Roman Regular"/>
                <w:bCs/>
                <w:color w:val="000000"/>
                <w:sz w:val="20"/>
                <w:szCs w:val="20"/>
              </w:rPr>
              <w:t>3092.495</w:t>
            </w:r>
          </w:p>
        </w:tc>
        <w:tc>
          <w:tcPr>
            <w:tcW w:w="1170" w:type="dxa"/>
            <w:tcBorders>
              <w:left w:val="single" w:color="000000" w:sz="4" w:space="0"/>
              <w:bottom w:val="single" w:color="000000" w:sz="4" w:space="0"/>
              <w:right w:val="single" w:color="000000" w:sz="4" w:space="0"/>
            </w:tcBorders>
            <w:vAlign w:val="center"/>
          </w:tcPr>
          <w:p>
            <w:pPr>
              <w:jc w:val="center"/>
              <w:rPr>
                <w:rFonts w:hint="default" w:ascii="Times New Roman Regular" w:hAnsi="Times New Roman Regular" w:eastAsia="宋体" w:cs="Times New Roman Regular"/>
                <w:bCs/>
                <w:color w:val="000000"/>
                <w:kern w:val="2"/>
                <w:sz w:val="20"/>
                <w:szCs w:val="20"/>
                <w:lang w:val="en-US" w:eastAsia="zh-CN" w:bidi="ar-SA"/>
              </w:rPr>
            </w:pPr>
            <w:r>
              <w:rPr>
                <w:rFonts w:hint="default" w:ascii="Times New Roman Regular" w:hAnsi="Times New Roman Regular" w:cs="Times New Roman Regular"/>
                <w:bCs/>
                <w:color w:val="000000"/>
                <w:sz w:val="20"/>
                <w:szCs w:val="20"/>
              </w:rPr>
              <w:t>3092.495</w:t>
            </w:r>
          </w:p>
        </w:tc>
        <w:tc>
          <w:tcPr>
            <w:tcW w:w="915"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kern w:val="2"/>
                <w:sz w:val="20"/>
                <w:szCs w:val="20"/>
                <w:lang w:val="en-US" w:eastAsia="zh-CN" w:bidi="ar-SA"/>
              </w:rPr>
            </w:pPr>
            <w:r>
              <w:rPr>
                <w:rFonts w:hint="default" w:ascii="Times New Roman Regular" w:hAnsi="Times New Roman Regular" w:eastAsia="宋体" w:cs="Times New Roman Regular"/>
                <w:bCs/>
                <w:color w:val="000000"/>
                <w:sz w:val="20"/>
                <w:szCs w:val="20"/>
                <w:lang w:eastAsia="zh-CN"/>
              </w:rPr>
              <w:t>2580.3688</w:t>
            </w:r>
          </w:p>
        </w:tc>
        <w:tc>
          <w:tcPr>
            <w:tcW w:w="945"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20"/>
                <w:szCs w:val="20"/>
                <w:lang w:eastAsia="zh-CN"/>
              </w:rPr>
            </w:pPr>
            <w:r>
              <w:rPr>
                <w:rFonts w:hint="default" w:ascii="Times New Roman Regular" w:hAnsi="Times New Roman Regular" w:eastAsia="宋体" w:cs="Times New Roman Regular"/>
                <w:bCs/>
                <w:color w:val="000000"/>
                <w:sz w:val="20"/>
                <w:szCs w:val="20"/>
                <w:lang w:eastAsia="zh-CN"/>
              </w:rPr>
              <w:t>2580.3688</w:t>
            </w:r>
          </w:p>
        </w:tc>
        <w:tc>
          <w:tcPr>
            <w:tcW w:w="870"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945"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20"/>
                <w:szCs w:val="20"/>
                <w:lang w:eastAsia="zh-CN"/>
              </w:rPr>
            </w:pPr>
            <w:r>
              <w:rPr>
                <w:rFonts w:hint="default" w:ascii="Times New Roman Regular" w:hAnsi="Times New Roman Regular" w:eastAsia="宋体" w:cs="Times New Roman Regular"/>
                <w:bCs/>
                <w:color w:val="000000"/>
                <w:sz w:val="20"/>
                <w:szCs w:val="20"/>
                <w:lang w:eastAsia="zh-CN"/>
              </w:rPr>
              <w:t>83.44%</w:t>
            </w:r>
          </w:p>
        </w:tc>
        <w:tc>
          <w:tcPr>
            <w:tcW w:w="1050"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-512.</w:t>
            </w:r>
            <w:r>
              <w:rPr>
                <w:rFonts w:hint="default" w:ascii="Times New Roman Regular" w:hAnsi="Times New Roman Regular" w:cs="Times New Roman Regular"/>
                <w:color w:val="000000"/>
                <w:sz w:val="20"/>
                <w:szCs w:val="20"/>
                <w:lang w:eastAsia="zh-CN"/>
              </w:rPr>
              <w:t>1</w:t>
            </w:r>
            <w:r>
              <w:rPr>
                <w:rFonts w:hint="default" w:ascii="Times New Roman Regular" w:hAnsi="Times New Roman Regular" w:cs="Times New Roman Regular"/>
                <w:color w:val="000000"/>
                <w:sz w:val="20"/>
                <w:szCs w:val="20"/>
                <w:lang w:val="en-US" w:eastAsia="zh-CN"/>
              </w:rPr>
              <w:t>262</w:t>
            </w:r>
          </w:p>
        </w:tc>
        <w:tc>
          <w:tcPr>
            <w:tcW w:w="2865" w:type="dxa"/>
            <w:tcBorders>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bCs/>
                <w:color w:val="000000"/>
                <w:sz w:val="16"/>
                <w:szCs w:val="16"/>
              </w:rPr>
            </w:pPr>
          </w:p>
        </w:tc>
        <w:tc>
          <w:tcPr>
            <w:tcW w:w="798" w:type="dxa"/>
            <w:tcBorders>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8"/>
                <w:szCs w:val="18"/>
              </w:rPr>
            </w:pPr>
          </w:p>
        </w:tc>
      </w:tr>
      <w:tr>
        <w:trPr>
          <w:trHeight w:val="495" w:hRule="atLeast"/>
        </w:trPr>
        <w:tc>
          <w:tcPr>
            <w:tcW w:w="2425" w:type="dxa"/>
            <w:tcBorders>
              <w:top w:val="single" w:color="000000" w:sz="4" w:space="0"/>
              <w:left w:val="single" w:color="000000" w:sz="4" w:space="0"/>
              <w:bottom w:val="single" w:color="000000" w:sz="4" w:space="0"/>
              <w:right w:val="single" w:color="000000" w:sz="4" w:space="0"/>
            </w:tcBorders>
            <w:vAlign w:val="center"/>
          </w:tcPr>
          <w:p>
            <w:pPr>
              <w:widowControl/>
              <w:ind w:firstLine="800" w:firstLineChars="400"/>
              <w:jc w:val="left"/>
              <w:textAlignment w:val="center"/>
              <w:rPr>
                <w:rFonts w:ascii="宋体" w:hAnsi="宋体" w:cs="宋体"/>
                <w:color w:val="000000"/>
                <w:sz w:val="20"/>
                <w:szCs w:val="20"/>
              </w:rPr>
            </w:pPr>
            <w:r>
              <w:rPr>
                <w:bCs/>
                <w:sz w:val="20"/>
                <w:szCs w:val="20"/>
              </w:rPr>
              <w:t>春节慰问</w:t>
            </w:r>
          </w:p>
        </w:tc>
        <w:tc>
          <w:tcPr>
            <w:tcW w:w="932"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color w:val="000000"/>
                <w:sz w:val="20"/>
                <w:szCs w:val="20"/>
                <w:lang w:eastAsia="zh-CN"/>
              </w:rPr>
            </w:pPr>
            <w:r>
              <w:rPr>
                <w:rFonts w:hint="default" w:ascii="Times New Roman Regular" w:hAnsi="Times New Roman Regular" w:eastAsia="宋体" w:cs="Times New Roman Regular"/>
                <w:color w:val="000000"/>
                <w:sz w:val="20"/>
                <w:szCs w:val="20"/>
                <w:lang w:eastAsia="zh-CN"/>
              </w:rPr>
              <w:t>1315.00</w:t>
            </w:r>
          </w:p>
        </w:tc>
        <w:tc>
          <w:tcPr>
            <w:tcW w:w="11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color w:val="000000"/>
                <w:kern w:val="2"/>
                <w:sz w:val="20"/>
                <w:szCs w:val="20"/>
                <w:lang w:val="en-US" w:eastAsia="zh-CN" w:bidi="ar-SA"/>
              </w:rPr>
            </w:pPr>
            <w:r>
              <w:rPr>
                <w:rFonts w:hint="default" w:ascii="Times New Roman Regular" w:hAnsi="Times New Roman Regular" w:eastAsia="宋体" w:cs="Times New Roman Regular"/>
                <w:color w:val="000000"/>
                <w:sz w:val="20"/>
                <w:szCs w:val="20"/>
                <w:lang w:eastAsia="zh-CN"/>
              </w:rPr>
              <w:t>1315.00</w:t>
            </w:r>
          </w:p>
        </w:tc>
        <w:tc>
          <w:tcPr>
            <w:tcW w:w="91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仿宋_GB2312" w:cs="Times New Roman Regular"/>
                <w:color w:val="000000"/>
                <w:kern w:val="2"/>
                <w:sz w:val="20"/>
                <w:szCs w:val="20"/>
                <w:lang w:val="en-US" w:eastAsia="zh-CN" w:bidi="ar-SA"/>
              </w:rPr>
            </w:pPr>
            <w:r>
              <w:rPr>
                <w:rFonts w:hint="default" w:ascii="Times New Roman Regular" w:hAnsi="Times New Roman Regular" w:cs="Times New Roman Regular"/>
                <w:color w:val="000000"/>
                <w:sz w:val="20"/>
                <w:szCs w:val="20"/>
              </w:rPr>
              <w:t>1223.5</w:t>
            </w: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1223.5</w:t>
            </w:r>
          </w:p>
        </w:tc>
        <w:tc>
          <w:tcPr>
            <w:tcW w:w="8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93.04%</w:t>
            </w: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-91.</w:t>
            </w:r>
            <w:r>
              <w:rPr>
                <w:rFonts w:hint="default" w:ascii="Times New Roman Regular" w:hAnsi="Times New Roman Regular" w:cs="Times New Roman Regular"/>
                <w:color w:val="000000"/>
                <w:sz w:val="20"/>
                <w:szCs w:val="20"/>
                <w:lang w:eastAsia="zh-CN"/>
              </w:rPr>
              <w:t>5</w:t>
            </w:r>
          </w:p>
        </w:tc>
        <w:tc>
          <w:tcPr>
            <w:tcW w:w="2865"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798"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r>
      <w:tr>
        <w:trPr>
          <w:trHeight w:val="495" w:hRule="atLeast"/>
        </w:trPr>
        <w:tc>
          <w:tcPr>
            <w:tcW w:w="2425" w:type="dxa"/>
            <w:tcBorders>
              <w:top w:val="single" w:color="000000" w:sz="4" w:space="0"/>
              <w:left w:val="single" w:color="000000" w:sz="4" w:space="0"/>
              <w:bottom w:val="single" w:color="000000" w:sz="4" w:space="0"/>
              <w:right w:val="single" w:color="000000" w:sz="4" w:space="0"/>
            </w:tcBorders>
            <w:vAlign w:val="bottom"/>
          </w:tcPr>
          <w:p>
            <w:pPr>
              <w:widowControl/>
              <w:ind w:firstLine="600" w:firstLineChars="300"/>
              <w:jc w:val="left"/>
              <w:textAlignment w:val="center"/>
              <w:rPr>
                <w:rFonts w:ascii="宋体" w:hAnsi="宋体" w:cs="宋体"/>
                <w:color w:val="000000"/>
                <w:sz w:val="20"/>
                <w:szCs w:val="20"/>
              </w:rPr>
            </w:pPr>
            <w:r>
              <w:rPr>
                <w:bCs/>
                <w:sz w:val="20"/>
                <w:szCs w:val="20"/>
              </w:rPr>
              <w:t>生活困难补助</w:t>
            </w:r>
          </w:p>
        </w:tc>
        <w:tc>
          <w:tcPr>
            <w:tcW w:w="932"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498.995</w:t>
            </w:r>
          </w:p>
        </w:tc>
        <w:tc>
          <w:tcPr>
            <w:tcW w:w="11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仿宋_GB2312" w:cs="Times New Roman Regular"/>
                <w:color w:val="000000"/>
                <w:kern w:val="2"/>
                <w:sz w:val="20"/>
                <w:szCs w:val="20"/>
                <w:lang w:val="en-US" w:eastAsia="en-US" w:bidi="ar-SA"/>
              </w:rPr>
            </w:pPr>
            <w:r>
              <w:rPr>
                <w:rFonts w:hint="default" w:ascii="Times New Roman Regular" w:hAnsi="Times New Roman Regular" w:cs="Times New Roman Regular"/>
                <w:color w:val="000000"/>
                <w:sz w:val="20"/>
                <w:szCs w:val="20"/>
              </w:rPr>
              <w:t>498.995</w:t>
            </w:r>
          </w:p>
        </w:tc>
        <w:tc>
          <w:tcPr>
            <w:tcW w:w="91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rPr>
              <w:t>408.439</w:t>
            </w: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408.439</w:t>
            </w:r>
          </w:p>
        </w:tc>
        <w:tc>
          <w:tcPr>
            <w:tcW w:w="870"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81.85%</w:t>
            </w: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-90.556</w:t>
            </w:r>
          </w:p>
        </w:tc>
        <w:tc>
          <w:tcPr>
            <w:tcW w:w="2865"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798"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r>
      <w:tr>
        <w:trPr>
          <w:trHeight w:val="495" w:hRule="atLeast"/>
        </w:trPr>
        <w:tc>
          <w:tcPr>
            <w:tcW w:w="2425" w:type="dxa"/>
            <w:tcBorders>
              <w:top w:val="single" w:color="000000" w:sz="4" w:space="0"/>
              <w:left w:val="single" w:color="000000" w:sz="4" w:space="0"/>
              <w:bottom w:val="single" w:color="000000" w:sz="4" w:space="0"/>
              <w:right w:val="single" w:color="000000" w:sz="4" w:space="0"/>
            </w:tcBorders>
            <w:vAlign w:val="center"/>
          </w:tcPr>
          <w:p>
            <w:pPr>
              <w:widowControl/>
              <w:ind w:firstLine="600" w:firstLineChars="300"/>
              <w:jc w:val="left"/>
              <w:textAlignment w:val="center"/>
              <w:rPr>
                <w:rFonts w:ascii="宋体" w:hAnsi="宋体" w:cs="宋体"/>
                <w:color w:val="000000"/>
                <w:sz w:val="20"/>
                <w:szCs w:val="20"/>
              </w:rPr>
            </w:pPr>
            <w:r>
              <w:rPr>
                <w:bCs/>
                <w:sz w:val="20"/>
                <w:szCs w:val="20"/>
              </w:rPr>
              <w:t>特殊困难帮扶</w:t>
            </w:r>
          </w:p>
        </w:tc>
        <w:tc>
          <w:tcPr>
            <w:tcW w:w="932"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640.00</w:t>
            </w:r>
          </w:p>
        </w:tc>
        <w:tc>
          <w:tcPr>
            <w:tcW w:w="11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仿宋_GB2312" w:cs="Times New Roman Regular"/>
                <w:color w:val="000000"/>
                <w:kern w:val="2"/>
                <w:sz w:val="20"/>
                <w:szCs w:val="20"/>
                <w:lang w:val="en-US" w:eastAsia="en-US" w:bidi="ar-SA"/>
              </w:rPr>
            </w:pPr>
            <w:r>
              <w:rPr>
                <w:rFonts w:hint="default" w:ascii="Times New Roman Regular" w:hAnsi="Times New Roman Regular" w:cs="Times New Roman Regular"/>
                <w:color w:val="000000"/>
                <w:sz w:val="20"/>
                <w:szCs w:val="20"/>
              </w:rPr>
              <w:t>640.00</w:t>
            </w:r>
          </w:p>
        </w:tc>
        <w:tc>
          <w:tcPr>
            <w:tcW w:w="91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rPr>
              <w:t>821.7798</w:t>
            </w: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821.7798</w:t>
            </w:r>
          </w:p>
        </w:tc>
        <w:tc>
          <w:tcPr>
            <w:tcW w:w="870"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128.40%</w:t>
            </w: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181.7798</w:t>
            </w:r>
          </w:p>
        </w:tc>
        <w:tc>
          <w:tcPr>
            <w:tcW w:w="2865"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798"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r>
      <w:tr>
        <w:trPr>
          <w:trHeight w:val="495" w:hRule="atLeast"/>
        </w:trPr>
        <w:tc>
          <w:tcPr>
            <w:tcW w:w="2425" w:type="dxa"/>
            <w:tcBorders>
              <w:top w:val="single" w:color="000000" w:sz="4" w:space="0"/>
              <w:left w:val="single" w:color="000000" w:sz="4" w:space="0"/>
              <w:bottom w:val="single" w:color="000000" w:sz="4" w:space="0"/>
              <w:right w:val="single" w:color="000000" w:sz="4" w:space="0"/>
            </w:tcBorders>
            <w:vAlign w:val="center"/>
          </w:tcPr>
          <w:p>
            <w:pPr>
              <w:widowControl/>
              <w:ind w:firstLine="800" w:firstLineChars="400"/>
              <w:jc w:val="left"/>
              <w:textAlignment w:val="center"/>
              <w:rPr>
                <w:rFonts w:ascii="宋体" w:hAnsi="宋体" w:cs="宋体"/>
                <w:color w:val="000000"/>
                <w:kern w:val="0"/>
                <w:sz w:val="20"/>
                <w:szCs w:val="20"/>
                <w:lang w:bidi="ar"/>
              </w:rPr>
            </w:pPr>
            <w:r>
              <w:rPr>
                <w:bCs/>
                <w:sz w:val="20"/>
                <w:szCs w:val="20"/>
              </w:rPr>
              <w:t>健康疗休养</w:t>
            </w:r>
          </w:p>
        </w:tc>
        <w:tc>
          <w:tcPr>
            <w:tcW w:w="932"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512.00</w:t>
            </w:r>
          </w:p>
        </w:tc>
        <w:tc>
          <w:tcPr>
            <w:tcW w:w="11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仿宋_GB2312" w:cs="Times New Roman Regular"/>
                <w:color w:val="000000"/>
                <w:kern w:val="2"/>
                <w:sz w:val="20"/>
                <w:szCs w:val="20"/>
                <w:lang w:val="en-US" w:eastAsia="en-US" w:bidi="ar-SA"/>
              </w:rPr>
            </w:pPr>
            <w:r>
              <w:rPr>
                <w:rFonts w:hint="default" w:ascii="Times New Roman Regular" w:hAnsi="Times New Roman Regular" w:cs="Times New Roman Regular"/>
                <w:color w:val="000000"/>
                <w:sz w:val="20"/>
                <w:szCs w:val="20"/>
              </w:rPr>
              <w:t>512.00</w:t>
            </w:r>
          </w:p>
        </w:tc>
        <w:tc>
          <w:tcPr>
            <w:tcW w:w="91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rPr>
              <w:t>0</w:t>
            </w: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0</w:t>
            </w:r>
          </w:p>
        </w:tc>
        <w:tc>
          <w:tcPr>
            <w:tcW w:w="870"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0</w:t>
            </w: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-512</w:t>
            </w:r>
          </w:p>
        </w:tc>
        <w:tc>
          <w:tcPr>
            <w:tcW w:w="2865"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r>
              <w:rPr>
                <w:rFonts w:hint="default" w:ascii="Times New Roman Regular" w:hAnsi="Times New Roman Regular" w:cs="Times New Roman Regular"/>
                <w:color w:val="000000"/>
                <w:sz w:val="16"/>
                <w:szCs w:val="16"/>
              </w:rPr>
              <w:t>受新冠疫情影响，健康疗休养未开展</w:t>
            </w:r>
          </w:p>
        </w:tc>
        <w:tc>
          <w:tcPr>
            <w:tcW w:w="798"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r>
      <w:tr>
        <w:trPr>
          <w:trHeight w:val="495" w:hRule="atLeast"/>
        </w:trPr>
        <w:tc>
          <w:tcPr>
            <w:tcW w:w="2425" w:type="dxa"/>
            <w:tcBorders>
              <w:top w:val="single" w:color="000000" w:sz="4" w:space="0"/>
              <w:left w:val="single" w:color="000000" w:sz="4" w:space="0"/>
              <w:bottom w:val="single" w:color="000000" w:sz="4" w:space="0"/>
              <w:right w:val="single" w:color="000000" w:sz="4" w:space="0"/>
            </w:tcBorders>
            <w:vAlign w:val="center"/>
          </w:tcPr>
          <w:p>
            <w:pPr>
              <w:widowControl/>
              <w:ind w:firstLine="800" w:firstLineChars="400"/>
              <w:jc w:val="left"/>
              <w:textAlignment w:val="center"/>
              <w:rPr>
                <w:rFonts w:ascii="宋体" w:hAnsi="宋体" w:cs="宋体"/>
                <w:color w:val="000000"/>
                <w:kern w:val="0"/>
                <w:sz w:val="20"/>
                <w:szCs w:val="20"/>
                <w:lang w:bidi="ar"/>
              </w:rPr>
            </w:pPr>
            <w:r>
              <w:rPr>
                <w:bCs/>
                <w:sz w:val="20"/>
                <w:szCs w:val="20"/>
              </w:rPr>
              <w:t>健康体检</w:t>
            </w:r>
          </w:p>
        </w:tc>
        <w:tc>
          <w:tcPr>
            <w:tcW w:w="932"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126.50</w:t>
            </w:r>
          </w:p>
        </w:tc>
        <w:tc>
          <w:tcPr>
            <w:tcW w:w="117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仿宋_GB2312" w:cs="Times New Roman Regular"/>
                <w:color w:val="000000"/>
                <w:kern w:val="2"/>
                <w:sz w:val="20"/>
                <w:szCs w:val="20"/>
                <w:lang w:val="en-US" w:eastAsia="en-US" w:bidi="ar-SA"/>
              </w:rPr>
            </w:pPr>
            <w:r>
              <w:rPr>
                <w:rFonts w:hint="default" w:ascii="Times New Roman Regular" w:hAnsi="Times New Roman Regular" w:cs="Times New Roman Regular"/>
                <w:color w:val="000000"/>
                <w:sz w:val="20"/>
                <w:szCs w:val="20"/>
              </w:rPr>
              <w:t>126.50</w:t>
            </w:r>
          </w:p>
        </w:tc>
        <w:tc>
          <w:tcPr>
            <w:tcW w:w="91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rPr>
              <w:t>126.65</w:t>
            </w: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126.65</w:t>
            </w:r>
          </w:p>
        </w:tc>
        <w:tc>
          <w:tcPr>
            <w:tcW w:w="870"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945"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100.12%</w:t>
            </w:r>
          </w:p>
        </w:tc>
        <w:tc>
          <w:tcPr>
            <w:tcW w:w="1050"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0.15</w:t>
            </w:r>
          </w:p>
        </w:tc>
        <w:tc>
          <w:tcPr>
            <w:tcW w:w="2865"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c>
          <w:tcPr>
            <w:tcW w:w="798" w:type="dxa"/>
            <w:tcBorders>
              <w:top w:val="single" w:color="000000" w:sz="4" w:space="0"/>
              <w:left w:val="single" w:color="000000" w:sz="4" w:space="0"/>
              <w:bottom w:val="single" w:color="000000" w:sz="4" w:space="0"/>
              <w:right w:val="single" w:color="000000" w:sz="4" w:space="0"/>
            </w:tcBorders>
            <w:vAlign w:val="center"/>
          </w:tcPr>
          <w:p>
            <w:pPr>
              <w:pStyle w:val="23"/>
              <w:rPr>
                <w:rFonts w:hint="default" w:ascii="Times New Roman Regular" w:hAnsi="Times New Roman Regular" w:eastAsia="宋体" w:cs="Times New Roman Regular"/>
                <w:bCs/>
                <w:color w:val="000000"/>
                <w:sz w:val="18"/>
                <w:szCs w:val="18"/>
                <w:lang w:eastAsia="zh-CN"/>
              </w:rPr>
            </w:pPr>
          </w:p>
        </w:tc>
        <w:tc>
          <w:tcPr>
            <w:tcW w:w="70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16"/>
                <w:szCs w:val="16"/>
              </w:rPr>
            </w:pPr>
          </w:p>
        </w:tc>
      </w:tr>
    </w:tbl>
    <w:p>
      <w:pPr>
        <w:pStyle w:val="27"/>
        <w:autoSpaceDN w:val="0"/>
        <w:spacing w:line="400" w:lineRule="exact"/>
        <w:ind w:firstLine="360"/>
        <w:rPr>
          <w:sz w:val="18"/>
          <w:szCs w:val="18"/>
        </w:rPr>
      </w:pPr>
      <w:r>
        <w:rPr>
          <w:rFonts w:hint="eastAsia"/>
          <w:sz w:val="18"/>
          <w:szCs w:val="18"/>
        </w:rPr>
        <w:t>注：1.此表按项目支出年度分项目进行填写；</w:t>
      </w:r>
    </w:p>
    <w:p>
      <w:pPr>
        <w:pStyle w:val="27"/>
        <w:autoSpaceDN w:val="0"/>
        <w:spacing w:line="400" w:lineRule="exact"/>
        <w:ind w:firstLine="360"/>
        <w:rPr>
          <w:sz w:val="18"/>
          <w:szCs w:val="18"/>
        </w:rPr>
      </w:pPr>
      <w:r>
        <w:rPr>
          <w:rFonts w:hint="eastAsia"/>
          <w:sz w:val="18"/>
          <w:szCs w:val="18"/>
        </w:rPr>
        <w:t xml:space="preserve">    2.项目本年支出进度</w:t>
      </w:r>
      <w:r>
        <w:rPr>
          <w:sz w:val="18"/>
          <w:szCs w:val="18"/>
        </w:rPr>
        <w:t>:</w:t>
      </w:r>
      <w:r>
        <w:rPr>
          <w:rFonts w:hint="eastAsia"/>
          <w:sz w:val="18"/>
          <w:szCs w:val="18"/>
        </w:rPr>
        <w:t>6</w:t>
      </w:r>
      <w:r>
        <w:rPr>
          <w:sz w:val="18"/>
          <w:szCs w:val="18"/>
        </w:rPr>
        <w:t>=</w:t>
      </w:r>
      <w:r>
        <w:rPr>
          <w:rFonts w:hint="eastAsia"/>
          <w:sz w:val="18"/>
          <w:szCs w:val="18"/>
        </w:rPr>
        <w:t>4</w:t>
      </w:r>
      <w:r>
        <w:rPr>
          <w:sz w:val="18"/>
          <w:szCs w:val="18"/>
        </w:rPr>
        <w:t>/2×100%</w:t>
      </w:r>
      <w:r>
        <w:rPr>
          <w:rFonts w:hint="eastAsia"/>
          <w:sz w:val="18"/>
          <w:szCs w:val="18"/>
        </w:rPr>
        <w:t xml:space="preserve">； </w:t>
      </w:r>
    </w:p>
    <w:p>
      <w:pPr>
        <w:pStyle w:val="27"/>
        <w:autoSpaceDN w:val="0"/>
        <w:spacing w:line="400" w:lineRule="exact"/>
        <w:ind w:firstLine="360"/>
        <w:rPr>
          <w:sz w:val="18"/>
          <w:szCs w:val="18"/>
        </w:rPr>
      </w:pPr>
      <w:r>
        <w:rPr>
          <w:rFonts w:hint="eastAsia"/>
          <w:sz w:val="18"/>
          <w:szCs w:val="18"/>
        </w:rPr>
        <w:t xml:space="preserve">    3.执行差额数=预算执行-预算批复（7=3-</w:t>
      </w:r>
      <w:r>
        <w:rPr>
          <w:sz w:val="18"/>
          <w:szCs w:val="18"/>
        </w:rPr>
        <w:t>2</w:t>
      </w:r>
      <w:r>
        <w:rPr>
          <w:rFonts w:hint="eastAsia"/>
          <w:sz w:val="18"/>
          <w:szCs w:val="18"/>
        </w:rPr>
        <w:t xml:space="preserve">）； </w:t>
      </w:r>
    </w:p>
    <w:p>
      <w:pPr>
        <w:pStyle w:val="27"/>
        <w:autoSpaceDN w:val="0"/>
        <w:spacing w:line="400" w:lineRule="exact"/>
        <w:ind w:firstLine="0"/>
        <w:rPr>
          <w:sz w:val="18"/>
          <w:szCs w:val="18"/>
        </w:rPr>
      </w:pPr>
      <w:r>
        <w:rPr>
          <w:rFonts w:hint="eastAsia"/>
          <w:sz w:val="18"/>
          <w:szCs w:val="18"/>
        </w:rPr>
        <w:t xml:space="preserve">        </w:t>
      </w:r>
      <w:r>
        <w:rPr>
          <w:sz w:val="18"/>
          <w:szCs w:val="18"/>
        </w:rPr>
        <w:t>4</w:t>
      </w:r>
      <w:r>
        <w:rPr>
          <w:rFonts w:hint="eastAsia"/>
          <w:sz w:val="18"/>
          <w:szCs w:val="18"/>
        </w:rPr>
        <w:t>.资金超支率:9=（</w:t>
      </w:r>
      <w:r>
        <w:rPr>
          <w:sz w:val="18"/>
          <w:szCs w:val="18"/>
        </w:rPr>
        <w:t>2-3</w:t>
      </w:r>
      <w:r>
        <w:rPr>
          <w:rFonts w:hint="eastAsia"/>
          <w:sz w:val="18"/>
          <w:szCs w:val="18"/>
        </w:rPr>
        <w:t>）/1×100%；</w:t>
      </w:r>
    </w:p>
    <w:p>
      <w:pPr>
        <w:pStyle w:val="27"/>
        <w:autoSpaceDN w:val="0"/>
        <w:spacing w:line="400" w:lineRule="exact"/>
        <w:ind w:firstLine="0"/>
        <w:rPr>
          <w:sz w:val="18"/>
          <w:szCs w:val="18"/>
        </w:rPr>
      </w:pPr>
      <w:r>
        <w:rPr>
          <w:rFonts w:hint="eastAsia"/>
          <w:sz w:val="18"/>
          <w:szCs w:val="18"/>
        </w:rPr>
        <w:t xml:space="preserve">        </w:t>
      </w:r>
      <w:r>
        <w:rPr>
          <w:sz w:val="18"/>
          <w:szCs w:val="18"/>
        </w:rPr>
        <w:t>5</w:t>
      </w:r>
      <w:r>
        <w:rPr>
          <w:rFonts w:hint="eastAsia"/>
          <w:sz w:val="18"/>
          <w:szCs w:val="18"/>
        </w:rPr>
        <w:t>.跨年支出（即20</w:t>
      </w:r>
      <w:r>
        <w:rPr>
          <w:sz w:val="18"/>
          <w:szCs w:val="18"/>
        </w:rPr>
        <w:t>21</w:t>
      </w:r>
      <w:r>
        <w:rPr>
          <w:rFonts w:hint="eastAsia"/>
          <w:sz w:val="18"/>
          <w:szCs w:val="18"/>
        </w:rPr>
        <w:t>年度批复项目在202</w:t>
      </w:r>
      <w:r>
        <w:rPr>
          <w:sz w:val="18"/>
          <w:szCs w:val="18"/>
        </w:rPr>
        <w:t>2</w:t>
      </w:r>
      <w:r>
        <w:rPr>
          <w:rFonts w:hint="eastAsia"/>
          <w:sz w:val="18"/>
          <w:szCs w:val="18"/>
        </w:rPr>
        <w:t>年度发生的支出），表中数据以单位实际账面数据为准，保留小数点后两位数字。</w:t>
      </w:r>
    </w:p>
    <w:p>
      <w:pPr>
        <w:pStyle w:val="27"/>
        <w:autoSpaceDN w:val="0"/>
        <w:spacing w:line="400" w:lineRule="exact"/>
        <w:ind w:firstLine="0"/>
        <w:rPr>
          <w:sz w:val="18"/>
          <w:szCs w:val="18"/>
        </w:rPr>
        <w:sectPr>
          <w:headerReference r:id="rId9" w:type="default"/>
          <w:footerReference r:id="rId10" w:type="default"/>
          <w:pgSz w:w="16838" w:h="11906" w:orient="landscape"/>
          <w:pgMar w:top="963" w:right="1440" w:bottom="1063" w:left="1440" w:header="851" w:footer="992" w:gutter="0"/>
          <w:cols w:space="720" w:num="1"/>
          <w:docGrid w:type="lines" w:linePitch="319" w:charSpace="0"/>
        </w:sectPr>
      </w:pPr>
    </w:p>
    <w:p>
      <w:pPr>
        <w:pStyle w:val="27"/>
        <w:ind w:firstLine="0"/>
        <w:jc w:val="left"/>
        <w:rPr>
          <w:rFonts w:ascii="黑体" w:hAnsi="黑体" w:eastAsia="黑体" w:cs="黑体"/>
          <w:bCs/>
          <w:sz w:val="32"/>
          <w:szCs w:val="32"/>
        </w:rPr>
      </w:pPr>
      <w:r>
        <w:rPr>
          <w:rFonts w:hint="eastAsia" w:ascii="黑体" w:hAnsi="黑体" w:eastAsia="黑体" w:cs="黑体"/>
          <w:bCs/>
          <w:sz w:val="32"/>
          <w:szCs w:val="32"/>
        </w:rPr>
        <w:t>附件2</w:t>
      </w:r>
    </w:p>
    <w:p>
      <w:pPr>
        <w:pStyle w:val="27"/>
        <w:ind w:firstLine="0"/>
        <w:jc w:val="center"/>
        <w:rPr>
          <w:rFonts w:ascii="仿宋_GB2312"/>
          <w:sz w:val="32"/>
          <w:szCs w:val="32"/>
        </w:rPr>
      </w:pPr>
      <w:r>
        <w:rPr>
          <w:rFonts w:hint="eastAsia" w:ascii="仿宋_GB2312"/>
          <w:bCs/>
          <w:sz w:val="32"/>
          <w:szCs w:val="32"/>
        </w:rPr>
        <w:t>市级劳模专项补助资金</w:t>
      </w:r>
      <w:r>
        <w:rPr>
          <w:rFonts w:hint="eastAsia" w:ascii="仿宋_GB2312"/>
          <w:sz w:val="32"/>
          <w:szCs w:val="32"/>
        </w:rPr>
        <w:t>项目</w:t>
      </w:r>
    </w:p>
    <w:p>
      <w:pPr>
        <w:pStyle w:val="27"/>
        <w:ind w:firstLine="0"/>
        <w:jc w:val="center"/>
        <w:rPr>
          <w:szCs w:val="28"/>
        </w:rPr>
      </w:pPr>
      <w:r>
        <w:rPr>
          <w:rFonts w:hint="eastAsia" w:ascii="仿宋_GB2312"/>
          <w:sz w:val="32"/>
          <w:szCs w:val="32"/>
        </w:rPr>
        <w:t>绩效目标完成情况及收支明细表</w:t>
      </w:r>
    </w:p>
    <w:p>
      <w:pPr>
        <w:pStyle w:val="27"/>
        <w:ind w:firstLine="560"/>
        <w:rPr>
          <w:szCs w:val="21"/>
        </w:rPr>
      </w:pPr>
      <w:r>
        <w:rPr>
          <w:rFonts w:hint="eastAsia"/>
          <w:szCs w:val="28"/>
        </w:rPr>
        <w:t xml:space="preserve">                                                         </w:t>
      </w:r>
      <w:r>
        <w:rPr>
          <w:rFonts w:hint="eastAsia"/>
          <w:szCs w:val="21"/>
        </w:rPr>
        <w:t>单位：万元</w:t>
      </w:r>
    </w:p>
    <w:tbl>
      <w:tblPr>
        <w:tblStyle w:val="19"/>
        <w:tblW w:w="8332" w:type="dxa"/>
        <w:tblInd w:w="0" w:type="dxa"/>
        <w:tblLayout w:type="fixed"/>
        <w:tblCellMar>
          <w:top w:w="15" w:type="dxa"/>
          <w:left w:w="15" w:type="dxa"/>
          <w:bottom w:w="15" w:type="dxa"/>
          <w:right w:w="15" w:type="dxa"/>
        </w:tblCellMar>
      </w:tblPr>
      <w:tblGrid>
        <w:gridCol w:w="1194"/>
        <w:gridCol w:w="2991"/>
        <w:gridCol w:w="1483"/>
        <w:gridCol w:w="2664"/>
      </w:tblGrid>
      <w:tr>
        <w:trPr>
          <w:trHeight w:val="566" w:hRule="atLeast"/>
        </w:trPr>
        <w:tc>
          <w:tcPr>
            <w:tcW w:w="1194" w:type="dxa"/>
            <w:vMerge w:val="restart"/>
            <w:tcBorders>
              <w:top w:val="single" w:color="000000" w:sz="4" w:space="0"/>
              <w:left w:val="single" w:color="000000" w:sz="4" w:space="0"/>
              <w:right w:val="single" w:color="000000" w:sz="4" w:space="0"/>
            </w:tcBorders>
            <w:shd w:val="clear" w:color="auto" w:fill="FFFFFF"/>
            <w:textDirection w:val="tbRlV"/>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绩效目标完成情况</w:t>
            </w:r>
          </w:p>
        </w:tc>
        <w:tc>
          <w:tcPr>
            <w:tcW w:w="2991" w:type="dxa"/>
            <w:tcBorders>
              <w:top w:val="single" w:color="000000" w:sz="4" w:space="0"/>
              <w:left w:val="single" w:color="000000" w:sz="4" w:space="0"/>
              <w:bottom w:val="single" w:color="auto" w:sz="4" w:space="0"/>
              <w:right w:val="single" w:color="000000" w:sz="4" w:space="0"/>
            </w:tcBorders>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计划内容</w:t>
            </w:r>
          </w:p>
        </w:tc>
        <w:tc>
          <w:tcPr>
            <w:tcW w:w="1483" w:type="dxa"/>
            <w:tcBorders>
              <w:top w:val="single" w:color="000000" w:sz="4" w:space="0"/>
              <w:left w:val="single" w:color="000000" w:sz="4" w:space="0"/>
              <w:bottom w:val="single" w:color="auto" w:sz="4" w:space="0"/>
              <w:right w:val="single" w:color="000000" w:sz="4" w:space="0"/>
            </w:tcBorders>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目标调整情况</w:t>
            </w:r>
          </w:p>
        </w:tc>
        <w:tc>
          <w:tcPr>
            <w:tcW w:w="2664" w:type="dxa"/>
            <w:tcBorders>
              <w:top w:val="single" w:color="000000" w:sz="4" w:space="0"/>
              <w:left w:val="single" w:color="000000" w:sz="4" w:space="0"/>
              <w:bottom w:val="single" w:color="auto" w:sz="4" w:space="0"/>
              <w:right w:val="single" w:color="000000" w:sz="4" w:space="0"/>
            </w:tcBorders>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实际完成情况</w:t>
            </w:r>
          </w:p>
        </w:tc>
      </w:tr>
      <w:tr>
        <w:trPr>
          <w:trHeight w:val="567" w:hRule="atLeast"/>
        </w:trPr>
        <w:tc>
          <w:tcPr>
            <w:tcW w:w="1194" w:type="dxa"/>
            <w:vMerge w:val="continue"/>
            <w:tcBorders>
              <w:left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发放春节慰问金1315</w:t>
            </w:r>
            <w:r>
              <w:rPr>
                <w:rFonts w:hint="default" w:ascii="Times New Roman Regular" w:hAnsi="Times New Roman Regular" w:cs="Times New Roman Regular"/>
                <w:color w:val="000000"/>
                <w:sz w:val="20"/>
                <w:szCs w:val="20"/>
                <w:lang w:val="en-US" w:eastAsia="zh-Hans"/>
              </w:rPr>
              <w:t>万元</w:t>
            </w:r>
          </w:p>
        </w:tc>
        <w:tc>
          <w:tcPr>
            <w:tcW w:w="14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-91.</w:t>
            </w:r>
            <w:r>
              <w:rPr>
                <w:rFonts w:hint="default" w:ascii="Times New Roman Regular" w:hAnsi="Times New Roman Regular" w:cs="Times New Roman Regular"/>
                <w:color w:val="000000"/>
                <w:sz w:val="20"/>
                <w:szCs w:val="20"/>
                <w:lang w:eastAsia="zh-CN"/>
              </w:rPr>
              <w:t>5</w:t>
            </w:r>
          </w:p>
        </w:tc>
        <w:tc>
          <w:tcPr>
            <w:tcW w:w="2664" w:type="dxa"/>
            <w:tcBorders>
              <w:top w:val="single" w:color="auto" w:sz="4" w:space="0"/>
              <w:left w:val="single" w:color="auto" w:sz="4" w:space="0"/>
              <w:bottom w:val="single" w:color="000000"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1223.</w:t>
            </w:r>
            <w:r>
              <w:rPr>
                <w:rFonts w:hint="default" w:ascii="Times New Roman Regular" w:hAnsi="Times New Roman Regular" w:cs="Times New Roman Regular"/>
                <w:color w:val="000000"/>
                <w:sz w:val="20"/>
                <w:szCs w:val="20"/>
                <w:lang w:eastAsia="zh-CN"/>
              </w:rPr>
              <w:t>5</w:t>
            </w:r>
          </w:p>
        </w:tc>
      </w:tr>
      <w:tr>
        <w:trPr>
          <w:trHeight w:val="567" w:hRule="atLeast"/>
        </w:trPr>
        <w:tc>
          <w:tcPr>
            <w:tcW w:w="1194" w:type="dxa"/>
            <w:vMerge w:val="continue"/>
            <w:tcBorders>
              <w:left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发放生活困难补助金498.995</w:t>
            </w:r>
            <w:r>
              <w:rPr>
                <w:rFonts w:hint="default" w:ascii="Times New Roman Regular" w:hAnsi="Times New Roman Regular" w:cs="Times New Roman Regular"/>
                <w:color w:val="000000"/>
                <w:sz w:val="20"/>
                <w:szCs w:val="20"/>
                <w:lang w:val="en-US" w:eastAsia="zh-Hans"/>
              </w:rPr>
              <w:t>万元</w:t>
            </w:r>
          </w:p>
        </w:tc>
        <w:tc>
          <w:tcPr>
            <w:tcW w:w="14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-90.556</w:t>
            </w:r>
          </w:p>
        </w:tc>
        <w:tc>
          <w:tcPr>
            <w:tcW w:w="2664" w:type="dxa"/>
            <w:tcBorders>
              <w:left w:val="single" w:color="auto" w:sz="4" w:space="0"/>
              <w:bottom w:val="single" w:color="000000"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408.439</w:t>
            </w:r>
          </w:p>
        </w:tc>
      </w:tr>
      <w:tr>
        <w:trPr>
          <w:trHeight w:val="567" w:hRule="atLeast"/>
        </w:trPr>
        <w:tc>
          <w:tcPr>
            <w:tcW w:w="1194" w:type="dxa"/>
            <w:vMerge w:val="continue"/>
            <w:tcBorders>
              <w:left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发放特殊困难帮扶金640</w:t>
            </w:r>
            <w:r>
              <w:rPr>
                <w:rFonts w:hint="default" w:ascii="Times New Roman Regular" w:hAnsi="Times New Roman Regular" w:cs="Times New Roman Regular"/>
                <w:color w:val="000000"/>
                <w:sz w:val="20"/>
                <w:szCs w:val="20"/>
                <w:lang w:val="en-US" w:eastAsia="zh-Hans"/>
              </w:rPr>
              <w:t>万元</w:t>
            </w:r>
          </w:p>
        </w:tc>
        <w:tc>
          <w:tcPr>
            <w:tcW w:w="14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181.7798</w:t>
            </w:r>
          </w:p>
        </w:tc>
        <w:tc>
          <w:tcPr>
            <w:tcW w:w="2664" w:type="dxa"/>
            <w:tcBorders>
              <w:left w:val="single" w:color="auto" w:sz="4" w:space="0"/>
              <w:bottom w:val="single" w:color="000000"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821.7798</w:t>
            </w:r>
          </w:p>
        </w:tc>
      </w:tr>
      <w:tr>
        <w:trPr>
          <w:trHeight w:val="567" w:hRule="atLeast"/>
        </w:trPr>
        <w:tc>
          <w:tcPr>
            <w:tcW w:w="1194" w:type="dxa"/>
            <w:vMerge w:val="continue"/>
            <w:tcBorders>
              <w:left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vAlign w:val="bottom"/>
          </w:tcPr>
          <w:p>
            <w:pPr>
              <w:spacing w:line="360" w:lineRule="auto"/>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组织健康疗休养512</w:t>
            </w:r>
            <w:r>
              <w:rPr>
                <w:rFonts w:hint="default" w:ascii="Times New Roman Regular" w:hAnsi="Times New Roman Regular" w:cs="Times New Roman Regular"/>
                <w:color w:val="000000"/>
                <w:sz w:val="20"/>
                <w:szCs w:val="20"/>
                <w:lang w:val="en-US" w:eastAsia="zh-Hans"/>
              </w:rPr>
              <w:t>万元</w:t>
            </w:r>
          </w:p>
        </w:tc>
        <w:tc>
          <w:tcPr>
            <w:tcW w:w="14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-512</w:t>
            </w:r>
          </w:p>
        </w:tc>
        <w:tc>
          <w:tcPr>
            <w:tcW w:w="2664" w:type="dxa"/>
            <w:tcBorders>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0</w:t>
            </w:r>
          </w:p>
        </w:tc>
      </w:tr>
      <w:tr>
        <w:trPr>
          <w:trHeight w:val="567" w:hRule="atLeast"/>
        </w:trPr>
        <w:tc>
          <w:tcPr>
            <w:tcW w:w="1194" w:type="dxa"/>
            <w:vMerge w:val="continue"/>
            <w:tcBorders>
              <w:left w:val="single" w:color="000000" w:sz="4" w:space="0"/>
              <w:bottom w:val="single" w:color="auto"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tcPr>
          <w:p>
            <w:pPr>
              <w:spacing w:line="360" w:lineRule="auto"/>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组织健康体检126.50</w:t>
            </w:r>
            <w:r>
              <w:rPr>
                <w:rFonts w:hint="default" w:ascii="Times New Roman Regular" w:hAnsi="Times New Roman Regular" w:cs="Times New Roman Regular"/>
                <w:color w:val="000000"/>
                <w:sz w:val="20"/>
                <w:szCs w:val="20"/>
                <w:lang w:val="en-US" w:eastAsia="zh-Hans"/>
              </w:rPr>
              <w:t>万元</w:t>
            </w:r>
          </w:p>
        </w:tc>
        <w:tc>
          <w:tcPr>
            <w:tcW w:w="14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0.15</w:t>
            </w:r>
          </w:p>
        </w:tc>
        <w:tc>
          <w:tcPr>
            <w:tcW w:w="266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126.65</w:t>
            </w:r>
          </w:p>
        </w:tc>
      </w:tr>
      <w:tr>
        <w:trPr>
          <w:trHeight w:val="555" w:hRule="atLeast"/>
        </w:trPr>
        <w:tc>
          <w:tcPr>
            <w:tcW w:w="1194" w:type="dxa"/>
            <w:vMerge w:val="restart"/>
            <w:tcBorders>
              <w:top w:val="single" w:color="auto" w:sz="4" w:space="0"/>
              <w:left w:val="single" w:color="000000" w:sz="4" w:space="0"/>
              <w:bottom w:val="single" w:color="000000" w:sz="4" w:space="0"/>
              <w:right w:val="single" w:color="000000" w:sz="4" w:space="0"/>
            </w:tcBorders>
            <w:shd w:val="clear" w:color="auto" w:fill="FFFFFF"/>
            <w:textDirection w:val="tbRlV"/>
            <w:vAlign w:val="center"/>
          </w:tcPr>
          <w:p>
            <w:pPr>
              <w:widowControl/>
              <w:jc w:val="center"/>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资金到位情况</w:t>
            </w:r>
          </w:p>
        </w:tc>
        <w:tc>
          <w:tcPr>
            <w:tcW w:w="2991" w:type="dxa"/>
            <w:tcBorders>
              <w:top w:val="single" w:color="auto" w:sz="4" w:space="0"/>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项目资金</w:t>
            </w:r>
          </w:p>
        </w:tc>
        <w:tc>
          <w:tcPr>
            <w:tcW w:w="1483" w:type="dxa"/>
            <w:tcBorders>
              <w:top w:val="single" w:color="auto" w:sz="4" w:space="0"/>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预算批复数</w:t>
            </w:r>
          </w:p>
        </w:tc>
        <w:tc>
          <w:tcPr>
            <w:tcW w:w="2664" w:type="dxa"/>
            <w:tcBorders>
              <w:top w:val="single" w:color="auto" w:sz="4" w:space="0"/>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资金到位数</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bottom w:val="single" w:color="000000" w:sz="4" w:space="0"/>
              <w:right w:val="single" w:color="000000" w:sz="4" w:space="0"/>
            </w:tcBorders>
            <w:vAlign w:val="bottom"/>
          </w:tcPr>
          <w:p>
            <w:pPr>
              <w:widowControl/>
              <w:jc w:val="center"/>
              <w:textAlignment w:val="bottom"/>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财政拨款</w:t>
            </w:r>
          </w:p>
        </w:tc>
        <w:tc>
          <w:tcPr>
            <w:tcW w:w="1483"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3092.495</w:t>
            </w:r>
          </w:p>
        </w:tc>
        <w:tc>
          <w:tcPr>
            <w:tcW w:w="2664"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3092.495</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bottom w:val="single" w:color="000000" w:sz="4" w:space="0"/>
              <w:right w:val="single" w:color="000000" w:sz="4" w:space="0"/>
            </w:tcBorders>
            <w:vAlign w:val="bottom"/>
          </w:tcPr>
          <w:p>
            <w:pPr>
              <w:widowControl/>
              <w:jc w:val="center"/>
              <w:textAlignment w:val="bottom"/>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项目单位自筹资金</w:t>
            </w:r>
          </w:p>
        </w:tc>
        <w:tc>
          <w:tcPr>
            <w:tcW w:w="1483"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p>
        </w:tc>
        <w:tc>
          <w:tcPr>
            <w:tcW w:w="2664"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bottom w:val="single" w:color="000000" w:sz="4" w:space="0"/>
              <w:right w:val="single" w:color="000000" w:sz="4" w:space="0"/>
            </w:tcBorders>
            <w:vAlign w:val="bottom"/>
          </w:tcPr>
          <w:p>
            <w:pPr>
              <w:widowControl/>
              <w:jc w:val="center"/>
              <w:textAlignment w:val="bottom"/>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其他资金</w:t>
            </w:r>
          </w:p>
        </w:tc>
        <w:tc>
          <w:tcPr>
            <w:tcW w:w="1483"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p>
        </w:tc>
        <w:tc>
          <w:tcPr>
            <w:tcW w:w="2664"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bottom w:val="single" w:color="000000" w:sz="4" w:space="0"/>
              <w:right w:val="single" w:color="000000" w:sz="4" w:space="0"/>
            </w:tcBorders>
            <w:vAlign w:val="bottom"/>
          </w:tcPr>
          <w:p>
            <w:pPr>
              <w:widowControl/>
              <w:jc w:val="center"/>
              <w:textAlignment w:val="bottom"/>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合    计</w:t>
            </w:r>
          </w:p>
        </w:tc>
        <w:tc>
          <w:tcPr>
            <w:tcW w:w="1483"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3092.495</w:t>
            </w:r>
          </w:p>
        </w:tc>
        <w:tc>
          <w:tcPr>
            <w:tcW w:w="2664" w:type="dxa"/>
            <w:tcBorders>
              <w:bottom w:val="single" w:color="000000" w:sz="4" w:space="0"/>
              <w:right w:val="single" w:color="000000" w:sz="4" w:space="0"/>
            </w:tcBorders>
            <w:vAlign w:val="bottom"/>
          </w:tcPr>
          <w:p>
            <w:pPr>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rPr>
              <w:t>3092.495</w:t>
            </w:r>
          </w:p>
        </w:tc>
      </w:tr>
      <w:tr>
        <w:trPr>
          <w:trHeight w:val="555" w:hRule="atLeast"/>
        </w:trPr>
        <w:tc>
          <w:tcPr>
            <w:tcW w:w="1194" w:type="dxa"/>
            <w:vMerge w:val="restart"/>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widowControl/>
              <w:jc w:val="center"/>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资金支出情况</w:t>
            </w:r>
          </w:p>
        </w:tc>
        <w:tc>
          <w:tcPr>
            <w:tcW w:w="2991" w:type="dxa"/>
            <w:tcBorders>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项目预算支出明细</w:t>
            </w:r>
          </w:p>
        </w:tc>
        <w:tc>
          <w:tcPr>
            <w:tcW w:w="1483" w:type="dxa"/>
            <w:tcBorders>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预算批复数</w:t>
            </w:r>
          </w:p>
        </w:tc>
        <w:tc>
          <w:tcPr>
            <w:tcW w:w="2664" w:type="dxa"/>
            <w:tcBorders>
              <w:bottom w:val="single" w:color="000000" w:sz="4" w:space="0"/>
              <w:right w:val="single" w:color="000000" w:sz="4" w:space="0"/>
            </w:tcBorders>
            <w:vAlign w:val="bottom"/>
          </w:tcPr>
          <w:p>
            <w:pPr>
              <w:widowControl/>
              <w:jc w:val="center"/>
              <w:textAlignment w:val="center"/>
              <w:rPr>
                <w:rFonts w:hint="default" w:ascii="Times New Roman Regular" w:hAnsi="Times New Roman Regular" w:cs="Times New Roman Regular"/>
                <w:color w:val="000000"/>
                <w:kern w:val="0"/>
                <w:sz w:val="20"/>
                <w:szCs w:val="20"/>
                <w:lang w:bidi="ar"/>
              </w:rPr>
            </w:pPr>
            <w:r>
              <w:rPr>
                <w:rFonts w:hint="default" w:ascii="Times New Roman Regular" w:hAnsi="Times New Roman Regular" w:cs="Times New Roman Regular"/>
                <w:color w:val="000000"/>
                <w:kern w:val="0"/>
                <w:sz w:val="20"/>
                <w:szCs w:val="20"/>
                <w:lang w:bidi="ar"/>
              </w:rPr>
              <w:t>实际支出数</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000000" w:sz="4" w:space="0"/>
              <w:left w:val="single" w:color="000000" w:sz="4" w:space="0"/>
              <w:bottom w:val="single" w:color="000000" w:sz="4" w:space="0"/>
              <w:right w:val="single" w:color="000000" w:sz="4" w:space="0"/>
            </w:tcBorders>
            <w:vAlign w:val="center"/>
          </w:tcPr>
          <w:p>
            <w:pPr>
              <w:widowControl/>
              <w:ind w:firstLine="800" w:firstLineChars="400"/>
              <w:jc w:val="left"/>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bCs/>
                <w:sz w:val="20"/>
                <w:szCs w:val="20"/>
              </w:rPr>
              <w:t>春节慰问</w:t>
            </w:r>
          </w:p>
        </w:tc>
        <w:tc>
          <w:tcPr>
            <w:tcW w:w="148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1315</w:t>
            </w:r>
          </w:p>
        </w:tc>
        <w:tc>
          <w:tcPr>
            <w:tcW w:w="2664"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1223.</w:t>
            </w:r>
            <w:r>
              <w:rPr>
                <w:rFonts w:hint="default" w:ascii="Times New Roman Regular" w:hAnsi="Times New Roman Regular" w:cs="Times New Roman Regular"/>
                <w:color w:val="000000"/>
                <w:sz w:val="20"/>
                <w:szCs w:val="20"/>
                <w:lang w:eastAsia="zh-CN"/>
              </w:rPr>
              <w:t>5</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000000" w:sz="4" w:space="0"/>
              <w:left w:val="single" w:color="000000" w:sz="4" w:space="0"/>
              <w:bottom w:val="single" w:color="000000" w:sz="4" w:space="0"/>
              <w:right w:val="single" w:color="000000" w:sz="4" w:space="0"/>
            </w:tcBorders>
            <w:vAlign w:val="bottom"/>
          </w:tcPr>
          <w:p>
            <w:pPr>
              <w:widowControl/>
              <w:ind w:firstLine="600" w:firstLineChars="300"/>
              <w:jc w:val="left"/>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bCs/>
                <w:sz w:val="20"/>
                <w:szCs w:val="20"/>
              </w:rPr>
              <w:t>生活困难补助</w:t>
            </w:r>
          </w:p>
        </w:tc>
        <w:tc>
          <w:tcPr>
            <w:tcW w:w="148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498.995</w:t>
            </w:r>
          </w:p>
        </w:tc>
        <w:tc>
          <w:tcPr>
            <w:tcW w:w="2664"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408.439</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000000" w:sz="4" w:space="0"/>
              <w:left w:val="single" w:color="000000" w:sz="4" w:space="0"/>
              <w:bottom w:val="single" w:color="000000" w:sz="4" w:space="0"/>
              <w:right w:val="single" w:color="000000" w:sz="4" w:space="0"/>
            </w:tcBorders>
            <w:vAlign w:val="center"/>
          </w:tcPr>
          <w:p>
            <w:pPr>
              <w:widowControl/>
              <w:ind w:firstLine="600" w:firstLineChars="300"/>
              <w:jc w:val="left"/>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bCs/>
                <w:sz w:val="20"/>
                <w:szCs w:val="20"/>
              </w:rPr>
              <w:t>特殊困难帮扶</w:t>
            </w:r>
          </w:p>
        </w:tc>
        <w:tc>
          <w:tcPr>
            <w:tcW w:w="148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640</w:t>
            </w:r>
          </w:p>
        </w:tc>
        <w:tc>
          <w:tcPr>
            <w:tcW w:w="2664"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821.7798</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000000" w:sz="4" w:space="0"/>
              <w:left w:val="single" w:color="000000" w:sz="4" w:space="0"/>
              <w:bottom w:val="single" w:color="auto" w:sz="4" w:space="0"/>
              <w:right w:val="single" w:color="000000" w:sz="4" w:space="0"/>
            </w:tcBorders>
            <w:vAlign w:val="center"/>
          </w:tcPr>
          <w:p>
            <w:pPr>
              <w:widowControl/>
              <w:ind w:firstLine="800" w:firstLineChars="400"/>
              <w:jc w:val="left"/>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bCs/>
                <w:sz w:val="20"/>
                <w:szCs w:val="20"/>
              </w:rPr>
              <w:t>健康疗休养</w:t>
            </w:r>
          </w:p>
        </w:tc>
        <w:tc>
          <w:tcPr>
            <w:tcW w:w="1483" w:type="dxa"/>
            <w:tcBorders>
              <w:top w:val="single" w:color="000000" w:sz="4" w:space="0"/>
              <w:left w:val="single" w:color="000000" w:sz="4" w:space="0"/>
              <w:bottom w:val="single" w:color="auto" w:sz="4" w:space="0"/>
              <w:right w:val="single" w:color="000000" w:sz="4" w:space="0"/>
            </w:tcBorders>
            <w:vAlign w:val="center"/>
          </w:tcPr>
          <w:p>
            <w:pPr>
              <w:jc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sz w:val="20"/>
                <w:szCs w:val="20"/>
                <w:lang w:val="en-US" w:eastAsia="zh-CN"/>
              </w:rPr>
              <w:t>512</w:t>
            </w:r>
          </w:p>
        </w:tc>
        <w:tc>
          <w:tcPr>
            <w:tcW w:w="2664" w:type="dxa"/>
            <w:tcBorders>
              <w:top w:val="single" w:color="000000" w:sz="4" w:space="0"/>
              <w:left w:val="single" w:color="000000" w:sz="4" w:space="0"/>
              <w:bottom w:val="single" w:color="auto"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0</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000000"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000000" w:sz="4" w:space="0"/>
              <w:left w:val="single" w:color="000000" w:sz="4" w:space="0"/>
              <w:bottom w:val="single" w:color="auto" w:sz="4" w:space="0"/>
              <w:right w:val="single" w:color="000000" w:sz="4" w:space="0"/>
            </w:tcBorders>
            <w:vAlign w:val="center"/>
          </w:tcPr>
          <w:p>
            <w:pPr>
              <w:widowControl/>
              <w:ind w:firstLine="800" w:firstLineChars="400"/>
              <w:jc w:val="left"/>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bCs/>
                <w:sz w:val="20"/>
                <w:szCs w:val="20"/>
              </w:rPr>
              <w:t>健康体检</w:t>
            </w:r>
          </w:p>
        </w:tc>
        <w:tc>
          <w:tcPr>
            <w:tcW w:w="1483" w:type="dxa"/>
            <w:tcBorders>
              <w:top w:val="single" w:color="000000" w:sz="4" w:space="0"/>
              <w:left w:val="single" w:color="000000" w:sz="4" w:space="0"/>
              <w:bottom w:val="single" w:color="auto"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126.5</w:t>
            </w:r>
          </w:p>
        </w:tc>
        <w:tc>
          <w:tcPr>
            <w:tcW w:w="2664" w:type="dxa"/>
            <w:tcBorders>
              <w:top w:val="single" w:color="000000" w:sz="4" w:space="0"/>
              <w:left w:val="single" w:color="000000" w:sz="4" w:space="0"/>
              <w:bottom w:val="single" w:color="auto" w:sz="4" w:space="0"/>
              <w:right w:val="single" w:color="000000" w:sz="4" w:space="0"/>
            </w:tcBorders>
            <w:vAlign w:val="center"/>
          </w:tcPr>
          <w:p>
            <w:pPr>
              <w:jc w:val="center"/>
              <w:rPr>
                <w:rFonts w:hint="default" w:ascii="Times New Roman Regular" w:hAnsi="Times New Roman Regular" w:cs="Times New Roman Regular"/>
                <w:color w:val="000000"/>
                <w:sz w:val="20"/>
                <w:szCs w:val="20"/>
                <w:lang w:eastAsia="zh-CN"/>
              </w:rPr>
            </w:pPr>
            <w:r>
              <w:rPr>
                <w:rFonts w:hint="default" w:ascii="Times New Roman Regular" w:hAnsi="Times New Roman Regular" w:cs="Times New Roman Regular"/>
                <w:color w:val="000000"/>
                <w:sz w:val="20"/>
                <w:szCs w:val="20"/>
                <w:lang w:val="en-US" w:eastAsia="zh-CN"/>
              </w:rPr>
              <w:t>126.65</w:t>
            </w:r>
          </w:p>
        </w:tc>
      </w:tr>
      <w:tr>
        <w:trPr>
          <w:trHeight w:val="555" w:hRule="atLeast"/>
        </w:trPr>
        <w:tc>
          <w:tcPr>
            <w:tcW w:w="1194" w:type="dxa"/>
            <w:vMerge w:val="continue"/>
            <w:tcBorders>
              <w:top w:val="single" w:color="000000" w:sz="4" w:space="0"/>
              <w:left w:val="single" w:color="000000" w:sz="4" w:space="0"/>
              <w:bottom w:val="single" w:color="000000" w:sz="4" w:space="0"/>
              <w:right w:val="single" w:color="auto" w:sz="4" w:space="0"/>
            </w:tcBorders>
            <w:shd w:val="clear" w:color="auto" w:fill="FFFFFF"/>
            <w:textDirection w:val="tbRlV"/>
            <w:vAlign w:val="center"/>
          </w:tcPr>
          <w:p>
            <w:pPr>
              <w:jc w:val="center"/>
              <w:rPr>
                <w:rFonts w:hint="default" w:ascii="Times New Roman Regular" w:hAnsi="Times New Roman Regular" w:cs="Times New Roman Regular"/>
                <w:color w:val="000000"/>
                <w:sz w:val="20"/>
                <w:szCs w:val="20"/>
              </w:rPr>
            </w:pPr>
          </w:p>
        </w:tc>
        <w:tc>
          <w:tcPr>
            <w:tcW w:w="2991" w:type="dxa"/>
            <w:tcBorders>
              <w:top w:val="single" w:color="auto" w:sz="4" w:space="0"/>
              <w:left w:val="single" w:color="auto" w:sz="4" w:space="0"/>
              <w:bottom w:val="single" w:color="auto" w:sz="4" w:space="0"/>
              <w:right w:val="single" w:color="auto" w:sz="4" w:space="0"/>
            </w:tcBorders>
            <w:vAlign w:val="bottom"/>
          </w:tcPr>
          <w:p>
            <w:pPr>
              <w:widowControl/>
              <w:jc w:val="center"/>
              <w:textAlignment w:val="center"/>
              <w:rPr>
                <w:rFonts w:hint="default" w:ascii="Times New Roman Regular" w:hAnsi="Times New Roman Regular" w:cs="Times New Roman Regular"/>
                <w:color w:val="000000"/>
                <w:sz w:val="20"/>
                <w:szCs w:val="20"/>
              </w:rPr>
            </w:pPr>
            <w:r>
              <w:rPr>
                <w:rFonts w:hint="default" w:ascii="Times New Roman Regular" w:hAnsi="Times New Roman Regular" w:cs="Times New Roman Regular"/>
                <w:color w:val="000000"/>
                <w:kern w:val="0"/>
                <w:sz w:val="20"/>
                <w:szCs w:val="20"/>
                <w:lang w:bidi="ar"/>
              </w:rPr>
              <w:t>合计</w:t>
            </w:r>
          </w:p>
        </w:tc>
        <w:tc>
          <w:tcPr>
            <w:tcW w:w="148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3092.495</w:t>
            </w:r>
          </w:p>
        </w:tc>
        <w:tc>
          <w:tcPr>
            <w:tcW w:w="266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Regular" w:hAnsi="Times New Roman Regular" w:cs="Times New Roman Regular"/>
                <w:color w:val="000000"/>
                <w:sz w:val="20"/>
                <w:szCs w:val="20"/>
                <w:lang w:val="en-US" w:eastAsia="zh-CN"/>
              </w:rPr>
            </w:pPr>
            <w:r>
              <w:rPr>
                <w:rFonts w:hint="default" w:ascii="Times New Roman Regular" w:hAnsi="Times New Roman Regular" w:cs="Times New Roman Regular"/>
                <w:color w:val="000000"/>
                <w:sz w:val="20"/>
                <w:szCs w:val="20"/>
                <w:lang w:val="en-US" w:eastAsia="zh-CN"/>
              </w:rPr>
              <w:t>2580.</w:t>
            </w:r>
            <w:r>
              <w:rPr>
                <w:rFonts w:hint="default" w:ascii="Times New Roman Regular" w:hAnsi="Times New Roman Regular" w:cs="Times New Roman Regular"/>
                <w:color w:val="000000"/>
                <w:sz w:val="20"/>
                <w:szCs w:val="20"/>
                <w:lang w:eastAsia="zh-CN"/>
              </w:rPr>
              <w:t>3</w:t>
            </w:r>
            <w:r>
              <w:rPr>
                <w:rFonts w:hint="default" w:ascii="Times New Roman Regular" w:hAnsi="Times New Roman Regular" w:cs="Times New Roman Regular"/>
                <w:color w:val="000000"/>
                <w:sz w:val="20"/>
                <w:szCs w:val="20"/>
                <w:lang w:val="en-US" w:eastAsia="zh-CN"/>
              </w:rPr>
              <w:t>688</w:t>
            </w:r>
          </w:p>
        </w:tc>
      </w:tr>
    </w:tbl>
    <w:p>
      <w:pPr>
        <w:pStyle w:val="27"/>
        <w:rPr>
          <w:rFonts w:ascii="宋体" w:hAnsi="宋体" w:cs="宋体"/>
          <w:sz w:val="20"/>
          <w:szCs w:val="20"/>
        </w:rPr>
      </w:pPr>
      <w:r>
        <w:rPr>
          <w:rFonts w:hint="default" w:ascii="Times New Roman Regular" w:hAnsi="Times New Roman Regular" w:cs="Times New Roman Regular"/>
          <w:sz w:val="20"/>
          <w:szCs w:val="20"/>
        </w:rPr>
        <w:t>注：1.预算批复数为项目年度批复的预算数，包含年初批复和年</w:t>
      </w:r>
      <w:r>
        <w:rPr>
          <w:rFonts w:hint="eastAsia" w:ascii="宋体" w:hAnsi="宋体" w:cs="宋体"/>
          <w:sz w:val="20"/>
          <w:szCs w:val="20"/>
        </w:rPr>
        <w:t>中的追加核减数；</w:t>
      </w:r>
    </w:p>
    <w:p>
      <w:pPr>
        <w:pStyle w:val="27"/>
        <w:rPr>
          <w:rFonts w:ascii="宋体" w:hAnsi="宋体" w:cs="宋体"/>
          <w:sz w:val="20"/>
          <w:szCs w:val="20"/>
        </w:rPr>
      </w:pPr>
      <w:r>
        <w:rPr>
          <w:rFonts w:hint="eastAsia" w:ascii="宋体" w:hAnsi="宋体" w:cs="宋体"/>
          <w:sz w:val="20"/>
          <w:szCs w:val="20"/>
        </w:rPr>
        <w:t xml:space="preserve">    2.实际支出数是指对应项目明细的实际支出数。</w:t>
      </w:r>
    </w:p>
    <w:p>
      <w:pPr>
        <w:pStyle w:val="27"/>
        <w:rPr>
          <w:rFonts w:hint="eastAsia" w:ascii="宋体" w:hAnsi="宋体" w:cs="宋体"/>
          <w:sz w:val="20"/>
          <w:szCs w:val="20"/>
        </w:rPr>
      </w:pPr>
      <w:r>
        <w:rPr>
          <w:rFonts w:hint="eastAsia" w:ascii="宋体" w:hAnsi="宋体" w:cs="宋体"/>
          <w:sz w:val="20"/>
          <w:szCs w:val="20"/>
        </w:rPr>
        <w:t xml:space="preserve">    3.表中数据以单位实际帐面数据为准，保留小数点后两位数字。</w:t>
      </w:r>
    </w:p>
    <w:p>
      <w:pPr>
        <w:rPr>
          <w:rFonts w:hint="eastAsia" w:ascii="宋体" w:hAnsi="宋体" w:cs="宋体"/>
          <w:sz w:val="20"/>
          <w:szCs w:val="20"/>
        </w:rPr>
      </w:pPr>
      <w:r>
        <w:rPr>
          <w:rFonts w:hint="eastAsia" w:ascii="宋体" w:hAnsi="宋体" w:cs="宋体"/>
          <w:sz w:val="20"/>
          <w:szCs w:val="20"/>
        </w:rPr>
        <w:br w:type="page"/>
      </w:r>
    </w:p>
    <w:p>
      <w:pPr>
        <w:pStyle w:val="4"/>
        <w:spacing w:before="0" w:after="0" w:line="240" w:lineRule="auto"/>
        <w:rPr>
          <w:rFonts w:hint="eastAsia" w:ascii="黑体" w:hAnsi="黑体" w:eastAsia="黑体"/>
          <w:b w:val="0"/>
          <w:szCs w:val="32"/>
          <w:highlight w:val="none"/>
          <w:lang w:val="en-US" w:eastAsia="zh-CN"/>
        </w:rPr>
      </w:pPr>
      <w:r>
        <w:rPr>
          <w:rFonts w:hint="eastAsia" w:ascii="黑体" w:hAnsi="黑体"/>
          <w:b w:val="0"/>
          <w:szCs w:val="32"/>
          <w:highlight w:val="none"/>
        </w:rPr>
        <w:t>附件</w:t>
      </w:r>
      <w:r>
        <w:rPr>
          <w:rFonts w:hint="eastAsia" w:ascii="黑体" w:hAnsi="黑体"/>
          <w:b w:val="0"/>
          <w:szCs w:val="32"/>
          <w:highlight w:val="none"/>
          <w:lang w:val="en-US" w:eastAsia="zh-CN"/>
        </w:rPr>
        <w:t>3</w:t>
      </w:r>
    </w:p>
    <w:p>
      <w:pPr>
        <w:rPr>
          <w:rFonts w:hint="eastAsia"/>
        </w:rPr>
      </w:pPr>
    </w:p>
    <w:p>
      <w:pPr>
        <w:spacing w:line="360" w:lineRule="auto"/>
        <w:jc w:val="center"/>
        <w:outlineLvl w:val="0"/>
        <w:rPr>
          <w:rFonts w:ascii="仿宋_GB2312" w:eastAsia="黑体"/>
          <w:b/>
          <w:bCs/>
          <w:sz w:val="36"/>
          <w:szCs w:val="36"/>
        </w:rPr>
      </w:pPr>
    </w:p>
    <w:p>
      <w:pPr>
        <w:spacing w:line="360" w:lineRule="auto"/>
        <w:jc w:val="center"/>
        <w:outlineLvl w:val="0"/>
        <w:rPr>
          <w:rFonts w:ascii="仿宋_GB2312" w:eastAsia="黑体"/>
          <w:b/>
          <w:bCs/>
          <w:sz w:val="36"/>
          <w:szCs w:val="36"/>
        </w:rPr>
      </w:pPr>
    </w:p>
    <w:p>
      <w:pPr>
        <w:spacing w:line="360" w:lineRule="auto"/>
        <w:jc w:val="center"/>
        <w:outlineLvl w:val="0"/>
        <w:rPr>
          <w:rFonts w:ascii="黑体" w:eastAsia="黑体"/>
          <w:bCs/>
          <w:sz w:val="36"/>
          <w:szCs w:val="36"/>
        </w:rPr>
      </w:pPr>
      <w:r>
        <w:rPr>
          <w:rFonts w:hint="eastAsia" w:ascii="仿宋_GB2312" w:eastAsia="黑体"/>
          <w:b/>
          <w:bCs/>
          <w:sz w:val="36"/>
          <w:szCs w:val="36"/>
        </w:rPr>
        <w:t>北京市项目支出绩效评价</w:t>
      </w:r>
      <w:r>
        <w:rPr>
          <w:rFonts w:ascii="仿宋_GB2312" w:eastAsia="黑体"/>
          <w:b/>
          <w:bCs/>
          <w:sz w:val="36"/>
          <w:szCs w:val="36"/>
        </w:rPr>
        <w:br w:type="textWrapping" w:clear="all"/>
      </w:r>
      <w:r>
        <w:rPr>
          <w:rFonts w:hint="eastAsia" w:ascii="黑体" w:eastAsia="黑体"/>
          <w:b/>
          <w:spacing w:val="20"/>
          <w:sz w:val="36"/>
          <w:szCs w:val="36"/>
        </w:rPr>
        <w:t>专家意见汇总书</w:t>
      </w:r>
      <w:r>
        <w:rPr>
          <w:rFonts w:ascii="黑体" w:eastAsia="黑体"/>
          <w:b/>
          <w:spacing w:val="20"/>
          <w:sz w:val="36"/>
          <w:szCs w:val="36"/>
        </w:rPr>
        <w:br w:type="textWrapping" w:clear="all"/>
      </w:r>
    </w:p>
    <w:p>
      <w:pPr>
        <w:spacing w:line="360" w:lineRule="auto"/>
        <w:ind w:firstLine="960"/>
        <w:jc w:val="center"/>
        <w:rPr>
          <w:rFonts w:ascii="黑体" w:eastAsia="黑体"/>
          <w:sz w:val="48"/>
          <w:szCs w:val="48"/>
        </w:rPr>
      </w:pPr>
    </w:p>
    <w:p>
      <w:pPr>
        <w:spacing w:line="360" w:lineRule="auto"/>
        <w:ind w:firstLine="960"/>
        <w:jc w:val="center"/>
        <w:rPr>
          <w:rFonts w:ascii="黑体" w:eastAsia="黑体"/>
          <w:sz w:val="48"/>
          <w:szCs w:val="48"/>
        </w:rPr>
      </w:pPr>
    </w:p>
    <w:p>
      <w:pPr>
        <w:spacing w:line="360" w:lineRule="auto"/>
        <w:ind w:firstLine="960"/>
        <w:jc w:val="center"/>
        <w:rPr>
          <w:rFonts w:ascii="黑体" w:eastAsia="黑体"/>
          <w:sz w:val="48"/>
          <w:szCs w:val="48"/>
        </w:rPr>
      </w:pPr>
    </w:p>
    <w:p>
      <w:pPr>
        <w:spacing w:line="360" w:lineRule="auto"/>
        <w:ind w:firstLine="960"/>
        <w:jc w:val="center"/>
        <w:rPr>
          <w:rFonts w:ascii="黑体" w:eastAsia="黑体"/>
          <w:sz w:val="48"/>
          <w:szCs w:val="48"/>
        </w:rPr>
      </w:pPr>
    </w:p>
    <w:p>
      <w:pPr>
        <w:spacing w:line="360" w:lineRule="auto"/>
        <w:ind w:firstLine="960"/>
        <w:jc w:val="center"/>
        <w:rPr>
          <w:rFonts w:ascii="黑体" w:eastAsia="黑体"/>
          <w:sz w:val="48"/>
          <w:szCs w:val="48"/>
        </w:rPr>
      </w:pPr>
    </w:p>
    <w:p>
      <w:pPr>
        <w:snapToGrid w:val="0"/>
        <w:spacing w:line="420" w:lineRule="auto"/>
        <w:ind w:right="120" w:firstLine="1420" w:firstLineChars="592"/>
        <w:rPr>
          <w:rFonts w:ascii="宋体" w:hAnsi="宋体"/>
          <w:sz w:val="24"/>
          <w:u w:val="single"/>
        </w:rPr>
      </w:pPr>
      <w:r>
        <w:rPr>
          <w:rFonts w:hint="eastAsia" w:ascii="宋体" w:hAnsi="宋体"/>
          <w:sz w:val="24"/>
        </w:rPr>
        <w:t>项目名称：</w:t>
      </w:r>
      <w:r>
        <w:rPr>
          <w:rFonts w:hint="eastAsia" w:ascii="宋体" w:hAnsi="宋体"/>
          <w:sz w:val="24"/>
          <w:u w:val="single"/>
        </w:rPr>
        <w:t>市级劳模专项补助资金</w:t>
      </w:r>
      <w:r>
        <w:rPr>
          <w:rFonts w:hint="eastAsia" w:ascii="宋体" w:hAnsi="宋体"/>
          <w:sz w:val="24"/>
          <w:u w:val="single"/>
          <w:lang w:val="en-US" w:eastAsia="zh-CN"/>
        </w:rPr>
        <w:t xml:space="preserve">     </w:t>
      </w:r>
      <w:r>
        <w:rPr>
          <w:rFonts w:hint="eastAsia" w:ascii="宋体" w:hAnsi="宋体"/>
          <w:sz w:val="24"/>
          <w:u w:val="single"/>
        </w:rPr>
        <w:t xml:space="preserve"> </w:t>
      </w:r>
      <w:r>
        <w:rPr>
          <w:rFonts w:hint="eastAsia" w:ascii="宋体" w:hAnsi="宋体"/>
          <w:sz w:val="24"/>
          <w:u w:val="single"/>
          <w:lang w:val="en-US" w:eastAsia="zh-CN"/>
        </w:rPr>
        <w:t xml:space="preserve">      </w:t>
      </w:r>
      <w:r>
        <w:rPr>
          <w:rFonts w:hint="eastAsia" w:ascii="宋体" w:hAnsi="宋体"/>
          <w:sz w:val="24"/>
          <w:u w:val="single"/>
        </w:rPr>
        <w:t xml:space="preserve">  </w:t>
      </w:r>
    </w:p>
    <w:p>
      <w:pPr>
        <w:snapToGrid w:val="0"/>
        <w:spacing w:line="420" w:lineRule="auto"/>
        <w:ind w:right="120" w:firstLine="1420" w:firstLineChars="592"/>
        <w:rPr>
          <w:rFonts w:ascii="宋体" w:hAnsi="宋体"/>
          <w:sz w:val="24"/>
        </w:rPr>
      </w:pPr>
      <w:r>
        <w:rPr>
          <w:rFonts w:hint="eastAsia" w:ascii="宋体" w:hAnsi="宋体"/>
          <w:sz w:val="24"/>
        </w:rPr>
        <w:t>项目单位：</w:t>
      </w:r>
      <w:r>
        <w:rPr>
          <w:rFonts w:hint="eastAsia" w:ascii="宋体" w:hAnsi="宋体"/>
          <w:sz w:val="24"/>
          <w:u w:val="single"/>
          <w:lang w:val="en-US" w:eastAsia="zh-CN"/>
        </w:rPr>
        <w:t>北京市总工会劳模工作部</w:t>
      </w:r>
      <w:r>
        <w:rPr>
          <w:rFonts w:ascii="宋体" w:hAnsi="宋体"/>
          <w:sz w:val="24"/>
          <w:u w:val="single"/>
        </w:rPr>
        <w:t xml:space="preserve">            </w:t>
      </w:r>
    </w:p>
    <w:p>
      <w:pPr>
        <w:snapToGrid w:val="0"/>
        <w:spacing w:line="420" w:lineRule="auto"/>
        <w:ind w:right="120" w:firstLine="1420" w:firstLineChars="592"/>
        <w:rPr>
          <w:rFonts w:ascii="宋体" w:hAnsi="宋体"/>
          <w:sz w:val="24"/>
          <w:u w:val="single"/>
        </w:rPr>
      </w:pPr>
      <w:r>
        <w:rPr>
          <w:rFonts w:hint="eastAsia" w:ascii="宋体" w:hAnsi="宋体"/>
          <w:sz w:val="24"/>
        </w:rPr>
        <w:t>主管部门：</w:t>
      </w:r>
      <w:r>
        <w:rPr>
          <w:rFonts w:hint="eastAsia" w:ascii="宋体" w:hAnsi="宋体"/>
          <w:sz w:val="24"/>
          <w:u w:val="single"/>
          <w:lang w:val="en-US" w:eastAsia="zh-CN"/>
        </w:rPr>
        <w:t>北京市总工会</w:t>
      </w:r>
      <w:r>
        <w:rPr>
          <w:rFonts w:ascii="宋体" w:hAnsi="宋体"/>
          <w:sz w:val="24"/>
          <w:u w:val="single"/>
        </w:rPr>
        <w:t xml:space="preserve">      </w:t>
      </w:r>
      <w:r>
        <w:rPr>
          <w:rFonts w:hint="eastAsia" w:ascii="宋体" w:hAnsi="宋体"/>
          <w:sz w:val="24"/>
          <w:u w:val="single"/>
          <w:lang w:val="en-US" w:eastAsia="zh-CN"/>
        </w:rPr>
        <w:t xml:space="preserve">  </w:t>
      </w:r>
      <w:r>
        <w:rPr>
          <w:rFonts w:ascii="宋体" w:hAnsi="宋体"/>
          <w:sz w:val="24"/>
          <w:u w:val="single"/>
        </w:rPr>
        <w:t xml:space="preserve"> </w:t>
      </w:r>
      <w:r>
        <w:rPr>
          <w:rFonts w:hint="eastAsia" w:ascii="宋体" w:hAnsi="宋体"/>
          <w:sz w:val="24"/>
          <w:u w:val="single"/>
          <w:lang w:val="en-US" w:eastAsia="zh-CN"/>
        </w:rPr>
        <w:t xml:space="preserve">  </w:t>
      </w:r>
      <w:r>
        <w:rPr>
          <w:rFonts w:ascii="宋体" w:hAnsi="宋体"/>
          <w:sz w:val="24"/>
          <w:u w:val="single"/>
        </w:rPr>
        <w:t xml:space="preserve"> </w:t>
      </w:r>
      <w:r>
        <w:rPr>
          <w:rFonts w:hint="eastAsia" w:ascii="宋体" w:hAnsi="宋体"/>
          <w:sz w:val="24"/>
          <w:u w:val="single"/>
        </w:rPr>
        <w:t xml:space="preserve">    </w:t>
      </w:r>
      <w:r>
        <w:rPr>
          <w:rFonts w:hint="eastAsia" w:ascii="宋体" w:hAnsi="宋体"/>
          <w:sz w:val="24"/>
          <w:u w:val="single"/>
          <w:lang w:val="en-US" w:eastAsia="zh-CN"/>
        </w:rPr>
        <w:t xml:space="preserve"> </w:t>
      </w:r>
      <w:r>
        <w:rPr>
          <w:rFonts w:hint="eastAsia" w:ascii="宋体" w:hAnsi="宋体"/>
          <w:sz w:val="24"/>
          <w:u w:val="single"/>
        </w:rPr>
        <w:t xml:space="preserve">  </w:t>
      </w:r>
      <w:r>
        <w:rPr>
          <w:rFonts w:ascii="宋体" w:hAnsi="宋体"/>
          <w:sz w:val="24"/>
          <w:u w:val="single"/>
        </w:rPr>
        <w:t xml:space="preserve">   </w:t>
      </w:r>
    </w:p>
    <w:p>
      <w:pPr>
        <w:snapToGrid w:val="0"/>
        <w:spacing w:line="420" w:lineRule="auto"/>
        <w:ind w:firstLine="1440" w:firstLineChars="600"/>
        <w:rPr>
          <w:rFonts w:ascii="宋体" w:hAnsi="宋体"/>
          <w:sz w:val="24"/>
        </w:rPr>
      </w:pPr>
      <w:r>
        <w:rPr>
          <w:rFonts w:hint="eastAsia" w:ascii="宋体" w:hAnsi="宋体"/>
          <w:sz w:val="24"/>
        </w:rPr>
        <w:t>评价时间：</w:t>
      </w:r>
      <w:r>
        <w:rPr>
          <w:rFonts w:ascii="宋体" w:hAnsi="宋体"/>
          <w:sz w:val="24"/>
          <w:u w:val="single"/>
        </w:rPr>
        <w:t xml:space="preserve">  </w:t>
      </w:r>
      <w:r>
        <w:rPr>
          <w:rFonts w:hint="eastAsia" w:ascii="宋体" w:hAnsi="宋体"/>
          <w:sz w:val="24"/>
          <w:u w:val="single"/>
          <w:lang w:val="en-US" w:eastAsia="zh-CN"/>
        </w:rPr>
        <w:t xml:space="preserve"> </w:t>
      </w:r>
      <w:r>
        <w:rPr>
          <w:rFonts w:ascii="宋体" w:hAnsi="宋体"/>
          <w:sz w:val="24"/>
          <w:u w:val="single"/>
        </w:rPr>
        <w:t xml:space="preserve"> </w:t>
      </w:r>
      <w:r>
        <w:rPr>
          <w:rFonts w:hint="eastAsia" w:ascii="宋体" w:hAnsi="宋体"/>
          <w:sz w:val="24"/>
          <w:u w:val="single"/>
          <w:lang w:val="en-US" w:eastAsia="zh-CN"/>
        </w:rPr>
        <w:t>202</w:t>
      </w:r>
      <w:r>
        <w:rPr>
          <w:rFonts w:hint="default" w:ascii="宋体" w:hAnsi="宋体"/>
          <w:sz w:val="24"/>
          <w:u w:val="single"/>
          <w:lang w:eastAsia="zh-CN"/>
        </w:rPr>
        <w:t>2</w:t>
      </w:r>
      <w:r>
        <w:rPr>
          <w:rFonts w:ascii="宋体" w:hAnsi="宋体"/>
          <w:sz w:val="24"/>
          <w:u w:val="single"/>
        </w:rPr>
        <w:t xml:space="preserve"> </w:t>
      </w:r>
      <w:r>
        <w:rPr>
          <w:rFonts w:hint="eastAsia" w:ascii="宋体" w:hAnsi="宋体"/>
          <w:sz w:val="24"/>
          <w:u w:val="single"/>
          <w:lang w:val="en-US" w:eastAsia="zh-CN"/>
        </w:rPr>
        <w:t xml:space="preserve"> </w:t>
      </w:r>
      <w:r>
        <w:rPr>
          <w:rFonts w:ascii="宋体" w:hAnsi="宋体"/>
          <w:sz w:val="24"/>
          <w:u w:val="single"/>
        </w:rPr>
        <w:t xml:space="preserve">  </w:t>
      </w:r>
      <w:r>
        <w:rPr>
          <w:rFonts w:hint="eastAsia" w:ascii="宋体" w:hAnsi="宋体"/>
          <w:sz w:val="24"/>
        </w:rPr>
        <w:t>年</w:t>
      </w:r>
      <w:r>
        <w:rPr>
          <w:rFonts w:ascii="宋体" w:hAnsi="宋体"/>
          <w:sz w:val="24"/>
        </w:rPr>
        <w:t xml:space="preserve"> </w:t>
      </w:r>
      <w:r>
        <w:rPr>
          <w:rFonts w:ascii="宋体" w:hAnsi="宋体"/>
          <w:sz w:val="24"/>
          <w:u w:val="single"/>
        </w:rPr>
        <w:t xml:space="preserve">   </w:t>
      </w:r>
      <w:r>
        <w:rPr>
          <w:rFonts w:hint="default" w:ascii="宋体" w:hAnsi="宋体"/>
          <w:sz w:val="24"/>
          <w:u w:val="single"/>
          <w:lang w:eastAsia="zh-CN"/>
        </w:rPr>
        <w:t>5</w:t>
      </w:r>
      <w:r>
        <w:rPr>
          <w:rFonts w:ascii="宋体" w:hAnsi="宋体"/>
          <w:sz w:val="24"/>
          <w:u w:val="single"/>
        </w:rPr>
        <w:t xml:space="preserve">   </w:t>
      </w:r>
      <w:r>
        <w:rPr>
          <w:rFonts w:hint="eastAsia" w:ascii="宋体" w:hAnsi="宋体"/>
          <w:sz w:val="24"/>
        </w:rPr>
        <w:t>月</w:t>
      </w:r>
      <w:r>
        <w:rPr>
          <w:rFonts w:ascii="宋体" w:hAnsi="宋体"/>
          <w:sz w:val="24"/>
        </w:rPr>
        <w:t xml:space="preserve"> </w:t>
      </w:r>
      <w:r>
        <w:rPr>
          <w:rFonts w:ascii="宋体" w:hAnsi="宋体"/>
          <w:sz w:val="24"/>
          <w:u w:val="single"/>
        </w:rPr>
        <w:t xml:space="preserve">  </w:t>
      </w:r>
      <w:r>
        <w:rPr>
          <w:rFonts w:hint="eastAsia" w:ascii="宋体" w:hAnsi="宋体"/>
          <w:sz w:val="24"/>
          <w:u w:val="single"/>
        </w:rPr>
        <w:t xml:space="preserve"> </w:t>
      </w:r>
      <w:r>
        <w:rPr>
          <w:rFonts w:hint="eastAsia" w:ascii="宋体" w:hAnsi="宋体"/>
          <w:sz w:val="24"/>
          <w:u w:val="single"/>
          <w:lang w:val="en-US" w:eastAsia="zh-CN"/>
        </w:rPr>
        <w:t>1</w:t>
      </w:r>
      <w:r>
        <w:rPr>
          <w:rFonts w:hint="default" w:ascii="宋体" w:hAnsi="宋体"/>
          <w:sz w:val="24"/>
          <w:u w:val="single"/>
          <w:lang w:eastAsia="zh-CN"/>
        </w:rPr>
        <w:t>2</w:t>
      </w:r>
      <w:r>
        <w:rPr>
          <w:rFonts w:hint="eastAsia" w:ascii="宋体" w:hAnsi="宋体"/>
          <w:sz w:val="24"/>
          <w:u w:val="single"/>
        </w:rPr>
        <w:t xml:space="preserve"> </w:t>
      </w:r>
      <w:r>
        <w:rPr>
          <w:rFonts w:ascii="宋体" w:hAnsi="宋体"/>
          <w:sz w:val="24"/>
          <w:u w:val="single"/>
        </w:rPr>
        <w:t xml:space="preserve"> </w:t>
      </w:r>
      <w:r>
        <w:rPr>
          <w:rFonts w:hint="eastAsia" w:ascii="宋体" w:hAnsi="宋体"/>
          <w:sz w:val="24"/>
        </w:rPr>
        <w:t>日</w:t>
      </w:r>
    </w:p>
    <w:p>
      <w:pPr>
        <w:spacing w:line="480" w:lineRule="auto"/>
        <w:ind w:firstLine="560"/>
        <w:rPr>
          <w:rFonts w:ascii="宋体"/>
          <w:szCs w:val="28"/>
        </w:rPr>
      </w:pPr>
    </w:p>
    <w:p>
      <w:pPr>
        <w:ind w:firstLine="562"/>
        <w:rPr>
          <w:b/>
          <w:bCs/>
        </w:rPr>
      </w:pPr>
    </w:p>
    <w:p>
      <w:pPr>
        <w:ind w:firstLine="562"/>
        <w:rPr>
          <w:b/>
          <w:bCs/>
        </w:rPr>
      </w:pPr>
    </w:p>
    <w:p>
      <w:pPr>
        <w:rPr>
          <w:rFonts w:hint="eastAsia"/>
        </w:rPr>
      </w:pPr>
    </w:p>
    <w:p/>
    <w:p/>
    <w:p>
      <w:pPr>
        <w:rPr>
          <w:rFonts w:hint="eastAsia"/>
        </w:rPr>
      </w:pPr>
    </w:p>
    <w:p/>
    <w:p>
      <w:pPr>
        <w:widowControl/>
        <w:spacing w:line="400" w:lineRule="exact"/>
        <w:rPr>
          <w:rFonts w:ascii="黑体" w:hAnsi="黑体"/>
          <w:b/>
          <w:sz w:val="24"/>
        </w:rPr>
      </w:pPr>
    </w:p>
    <w:p>
      <w:pPr>
        <w:widowControl/>
        <w:spacing w:line="400" w:lineRule="exact"/>
        <w:rPr>
          <w:rFonts w:ascii="黑体" w:hAnsi="黑体"/>
          <w:b/>
          <w:sz w:val="24"/>
        </w:rPr>
      </w:pPr>
    </w:p>
    <w:p>
      <w:pPr>
        <w:widowControl/>
        <w:spacing w:line="400" w:lineRule="exact"/>
        <w:rPr>
          <w:rFonts w:ascii="黑体" w:hAnsi="黑体"/>
          <w:b/>
          <w:sz w:val="24"/>
        </w:rPr>
      </w:pPr>
    </w:p>
    <w:p>
      <w:pPr>
        <w:pStyle w:val="28"/>
        <w:jc w:val="center"/>
        <w:rPr>
          <w:rFonts w:ascii="Times New Roman" w:hAnsi="Times New Roman"/>
          <w:sz w:val="24"/>
          <w:szCs w:val="24"/>
          <w:lang w:eastAsia="zh-CN"/>
        </w:rPr>
      </w:pPr>
    </w:p>
    <w:p>
      <w:pPr>
        <w:pStyle w:val="28"/>
        <w:jc w:val="center"/>
        <w:rPr>
          <w:rFonts w:ascii="Times New Roman" w:hAnsi="Times New Roman"/>
          <w:sz w:val="24"/>
          <w:szCs w:val="24"/>
          <w:lang w:eastAsia="zh-CN"/>
        </w:rPr>
      </w:pPr>
      <w:r>
        <w:rPr>
          <w:rFonts w:ascii="Times New Roman" w:hAnsi="Times New Roman"/>
          <w:sz w:val="24"/>
          <w:szCs w:val="24"/>
          <w:lang w:eastAsia="zh-CN"/>
        </w:rPr>
        <w:t>填报说明</w:t>
      </w:r>
    </w:p>
    <w:p>
      <w:pPr>
        <w:spacing w:line="360" w:lineRule="auto"/>
        <w:ind w:firstLine="482"/>
        <w:rPr>
          <w:rFonts w:ascii="Times New Roman" w:hAnsi="Times New Roman"/>
          <w:sz w:val="24"/>
        </w:rPr>
      </w:pPr>
      <w:r>
        <w:rPr>
          <w:rFonts w:ascii="Times New Roman" w:hAnsi="Times New Roman"/>
          <w:sz w:val="24"/>
        </w:rPr>
        <w:t>一、“专家评分汇总表”中的分值是指《</w:t>
      </w:r>
      <w:r>
        <w:rPr>
          <w:rFonts w:hint="eastAsia" w:ascii="Times New Roman" w:hAnsi="Times New Roman"/>
          <w:sz w:val="24"/>
          <w:lang w:val="en-US" w:eastAsia="zh-CN"/>
        </w:rPr>
        <w:t>北京市项目支出绩效评价专家评分表和意见书</w:t>
      </w:r>
      <w:r>
        <w:rPr>
          <w:rFonts w:ascii="Times New Roman" w:hAnsi="Times New Roman"/>
          <w:sz w:val="24"/>
        </w:rPr>
        <w:t>》中所标明的“一级指标分值”或“二级指标分值”。各位专家的计分是由相应的“三级、四级指标得分”汇总得来的。</w:t>
      </w:r>
    </w:p>
    <w:p>
      <w:pPr>
        <w:spacing w:line="360" w:lineRule="auto"/>
        <w:ind w:firstLine="482"/>
        <w:rPr>
          <w:rFonts w:ascii="Times New Roman" w:hAnsi="Times New Roman"/>
          <w:sz w:val="24"/>
        </w:rPr>
      </w:pPr>
      <w:r>
        <w:rPr>
          <w:rFonts w:ascii="Times New Roman" w:hAnsi="Times New Roman"/>
          <w:sz w:val="24"/>
        </w:rPr>
        <w:t>二、“绩效级别”分为四级：</w:t>
      </w:r>
    </w:p>
    <w:p>
      <w:pPr>
        <w:spacing w:line="360" w:lineRule="auto"/>
        <w:ind w:firstLine="482"/>
        <w:rPr>
          <w:rFonts w:ascii="Times New Roman" w:hAnsi="Times New Roman"/>
          <w:sz w:val="24"/>
        </w:rPr>
      </w:pPr>
      <w:r>
        <w:rPr>
          <w:rFonts w:ascii="Times New Roman" w:hAnsi="Times New Roman"/>
          <w:sz w:val="24"/>
        </w:rPr>
        <w:t>项目评价合计得分90分（含）以上的为优；</w:t>
      </w:r>
    </w:p>
    <w:p>
      <w:pPr>
        <w:spacing w:line="360" w:lineRule="auto"/>
        <w:ind w:firstLine="482"/>
        <w:rPr>
          <w:rFonts w:ascii="Times New Roman" w:hAnsi="Times New Roman"/>
          <w:sz w:val="24"/>
        </w:rPr>
      </w:pPr>
      <w:r>
        <w:rPr>
          <w:rFonts w:hint="eastAsia" w:ascii="Times New Roman" w:hAnsi="Times New Roman"/>
          <w:sz w:val="24"/>
          <w:lang w:val="en-US" w:eastAsia="zh-CN"/>
        </w:rPr>
        <w:t>80</w:t>
      </w:r>
      <w:r>
        <w:rPr>
          <w:rFonts w:ascii="Times New Roman" w:hAnsi="Times New Roman"/>
          <w:sz w:val="24"/>
        </w:rPr>
        <w:t>（含）</w:t>
      </w:r>
      <w:r>
        <w:rPr>
          <w:rFonts w:hint="eastAsia" w:ascii="Times New Roman" w:hAnsi="Times New Roman"/>
          <w:sz w:val="24"/>
          <w:lang w:val="en-US" w:eastAsia="zh-CN"/>
        </w:rPr>
        <w:t xml:space="preserve">- </w:t>
      </w:r>
      <w:r>
        <w:rPr>
          <w:rFonts w:ascii="Times New Roman" w:hAnsi="Times New Roman"/>
          <w:sz w:val="24"/>
        </w:rPr>
        <w:t>90分之间的为良；</w:t>
      </w:r>
    </w:p>
    <w:p>
      <w:pPr>
        <w:spacing w:line="360" w:lineRule="auto"/>
        <w:ind w:firstLine="482"/>
        <w:rPr>
          <w:rFonts w:ascii="Times New Roman" w:hAnsi="Times New Roman"/>
          <w:sz w:val="24"/>
        </w:rPr>
      </w:pPr>
      <w:r>
        <w:rPr>
          <w:rFonts w:ascii="Times New Roman" w:hAnsi="Times New Roman"/>
          <w:sz w:val="24"/>
        </w:rPr>
        <w:t>60（含）</w:t>
      </w:r>
      <w:r>
        <w:rPr>
          <w:rFonts w:hint="eastAsia" w:ascii="Times New Roman" w:hAnsi="Times New Roman"/>
          <w:sz w:val="24"/>
          <w:lang w:val="en-US" w:eastAsia="zh-CN"/>
        </w:rPr>
        <w:t>- 80</w:t>
      </w:r>
      <w:r>
        <w:rPr>
          <w:rFonts w:ascii="Times New Roman" w:hAnsi="Times New Roman"/>
          <w:sz w:val="24"/>
        </w:rPr>
        <w:t>分之间的为</w:t>
      </w:r>
      <w:r>
        <w:rPr>
          <w:rFonts w:hint="eastAsia" w:ascii="Times New Roman" w:hAnsi="Times New Roman"/>
          <w:sz w:val="24"/>
          <w:lang w:val="en-US" w:eastAsia="zh-CN"/>
        </w:rPr>
        <w:t>中</w:t>
      </w:r>
      <w:r>
        <w:rPr>
          <w:rFonts w:ascii="Times New Roman" w:hAnsi="Times New Roman"/>
          <w:sz w:val="24"/>
        </w:rPr>
        <w:t>；</w:t>
      </w:r>
    </w:p>
    <w:p>
      <w:pPr>
        <w:spacing w:line="360" w:lineRule="auto"/>
        <w:ind w:firstLine="482"/>
        <w:rPr>
          <w:rFonts w:ascii="Times New Roman" w:hAnsi="Times New Roman"/>
          <w:sz w:val="24"/>
        </w:rPr>
      </w:pPr>
      <w:r>
        <w:rPr>
          <w:rFonts w:ascii="Times New Roman" w:hAnsi="Times New Roman"/>
          <w:sz w:val="24"/>
        </w:rPr>
        <w:t>60分以下的为差。</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pStyle w:val="28"/>
        <w:keepNext w:val="0"/>
        <w:keepLines w:val="0"/>
        <w:pageBreakBefore w:val="0"/>
        <w:widowControl w:val="0"/>
        <w:kinsoku/>
        <w:wordWrap/>
        <w:overflowPunct/>
        <w:topLinePunct w:val="0"/>
        <w:autoSpaceDE/>
        <w:autoSpaceDN/>
        <w:bidi w:val="0"/>
        <w:adjustRightInd/>
        <w:snapToGrid/>
        <w:ind w:firstLine="0"/>
        <w:textAlignment w:val="auto"/>
        <w:rPr>
          <w:rFonts w:hint="eastAsia"/>
          <w:sz w:val="24"/>
          <w:szCs w:val="24"/>
          <w:lang w:eastAsia="zh-CN"/>
        </w:rPr>
      </w:pPr>
      <w:r>
        <w:rPr>
          <w:rFonts w:hint="eastAsia"/>
          <w:sz w:val="24"/>
          <w:szCs w:val="24"/>
          <w:lang w:eastAsia="zh-CN"/>
        </w:rPr>
        <w:t>一、专家评分汇总表</w:t>
      </w:r>
    </w:p>
    <w:tbl>
      <w:tblPr>
        <w:tblStyle w:val="19"/>
        <w:tblW w:w="88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
        <w:gridCol w:w="1936"/>
        <w:gridCol w:w="833"/>
        <w:gridCol w:w="829"/>
        <w:gridCol w:w="829"/>
        <w:gridCol w:w="916"/>
        <w:gridCol w:w="881"/>
        <w:gridCol w:w="813"/>
        <w:gridCol w:w="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3704" w:type="dxa"/>
            <w:gridSpan w:val="3"/>
            <w:noWrap w:val="0"/>
            <w:vAlign w:val="center"/>
          </w:tcPr>
          <w:p>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评价指标及分值</w:t>
            </w:r>
          </w:p>
        </w:tc>
        <w:tc>
          <w:tcPr>
            <w:tcW w:w="5126" w:type="dxa"/>
            <w:gridSpan w:val="6"/>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专家评分汇总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2871" w:type="dxa"/>
            <w:gridSpan w:val="2"/>
            <w:noWrap w:val="0"/>
            <w:vAlign w:val="center"/>
          </w:tcPr>
          <w:p>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评价指标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分值</w:t>
            </w:r>
          </w:p>
        </w:tc>
        <w:tc>
          <w:tcPr>
            <w:tcW w:w="829"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专家1</w:t>
            </w:r>
          </w:p>
        </w:tc>
        <w:tc>
          <w:tcPr>
            <w:tcW w:w="829"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专家2</w:t>
            </w:r>
          </w:p>
        </w:tc>
        <w:tc>
          <w:tcPr>
            <w:tcW w:w="91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专家3</w:t>
            </w:r>
          </w:p>
        </w:tc>
        <w:tc>
          <w:tcPr>
            <w:tcW w:w="881"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专家4</w:t>
            </w:r>
          </w:p>
        </w:tc>
        <w:tc>
          <w:tcPr>
            <w:tcW w:w="81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专家5</w:t>
            </w:r>
          </w:p>
        </w:tc>
        <w:tc>
          <w:tcPr>
            <w:tcW w:w="858"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平均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决策</w:t>
            </w: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项目立项</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5</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4.50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5.00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4.10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4.50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4.40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4.50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auto"/>
              <w:rPr>
                <w:rFonts w:hint="default" w:ascii="Times New Roman" w:hAnsi="Times New Roman" w:eastAsia="宋体" w:cs="Times New Roman"/>
              </w:rPr>
            </w:pPr>
            <w:r>
              <w:rPr>
                <w:rFonts w:hint="default" w:ascii="Times New Roman" w:hAnsi="Times New Roman" w:eastAsia="宋体" w:cs="Times New Roman"/>
              </w:rPr>
              <w:t>立项依据充分性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2</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1.50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auto"/>
              <w:rPr>
                <w:rFonts w:hint="default" w:ascii="Times New Roman" w:hAnsi="Times New Roman" w:eastAsia="宋体" w:cs="Times New Roman"/>
              </w:rPr>
            </w:pPr>
            <w:r>
              <w:rPr>
                <w:rFonts w:hint="default" w:ascii="Times New Roman" w:hAnsi="Times New Roman" w:eastAsia="宋体" w:cs="Times New Roman"/>
              </w:rPr>
              <w:t>立项程序规范性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3</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2.50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2.60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2.40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绩效目标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3</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2.20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1.60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2.30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2.00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2.60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2.14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绩效目标合理性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2</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1.50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1.80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1.48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绩效指标明确性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1</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0.60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0.60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0.66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资金投入</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2</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1.40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1.40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1.60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1.50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1.60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预算编制科学性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1</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0.70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0.60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资金分配合理性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1</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0.70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0.80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0.72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过程</w:t>
            </w: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资金管理</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8</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7.10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7.70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6.70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7.70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7.70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7.38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资金到位率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2</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预算执行率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2</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1.70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资金使用合规性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4</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3.40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4.00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4.00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4.00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3.68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000000"/>
                <w:kern w:val="0"/>
                <w:sz w:val="20"/>
                <w:szCs w:val="20"/>
              </w:rPr>
            </w:pPr>
            <w:r>
              <w:rPr>
                <w:rFonts w:hint="default" w:ascii="Times New Roman" w:hAnsi="Times New Roman" w:eastAsia="宋体" w:cs="Times New Roman"/>
                <w:b/>
                <w:bCs/>
                <w:color w:val="000000"/>
                <w:kern w:val="0"/>
                <w:sz w:val="20"/>
                <w:szCs w:val="20"/>
              </w:rPr>
              <w:t>组织实施</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12</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9.20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11.00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9.50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10.00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10.60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10.06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管理制度健全性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4</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2.70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4.00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4.00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3.60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3.46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制度执行有效性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8</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6.50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7.00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6.50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6.00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7.00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6.60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b/>
                <w:color w:val="000000"/>
                <w:kern w:val="0"/>
                <w:sz w:val="20"/>
                <w:szCs w:val="20"/>
              </w:rPr>
              <w:t>产出</w:t>
            </w: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color w:val="000000"/>
                <w:kern w:val="0"/>
                <w:sz w:val="20"/>
                <w:szCs w:val="20"/>
              </w:rPr>
            </w:pPr>
            <w:r>
              <w:rPr>
                <w:rFonts w:hint="default" w:ascii="Times New Roman" w:hAnsi="Times New Roman" w:eastAsia="宋体" w:cs="Times New Roman"/>
                <w:b/>
                <w:color w:val="000000"/>
                <w:kern w:val="0"/>
                <w:sz w:val="20"/>
                <w:szCs w:val="20"/>
              </w:rPr>
              <w:t>产出数量</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7.00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6.50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7.50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实际完成率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color w:val="000000"/>
                <w:kern w:val="0"/>
                <w:sz w:val="20"/>
                <w:szCs w:val="20"/>
                <w:lang w:val="en-US" w:eastAsia="zh-CN"/>
              </w:rPr>
              <w:t>10</w:t>
            </w:r>
            <w:r>
              <w:rPr>
                <w:rFonts w:hint="eastAsia" w:cs="Times New Roman"/>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7.00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6.50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7.50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
                <w:color w:val="000000"/>
                <w:kern w:val="0"/>
                <w:sz w:val="20"/>
                <w:szCs w:val="20"/>
              </w:rPr>
            </w:pPr>
            <w:r>
              <w:rPr>
                <w:rFonts w:hint="default" w:ascii="Times New Roman" w:hAnsi="Times New Roman" w:eastAsia="宋体" w:cs="Times New Roman"/>
                <w:b/>
                <w:color w:val="000000"/>
                <w:kern w:val="0"/>
                <w:sz w:val="20"/>
                <w:szCs w:val="20"/>
              </w:rPr>
              <w:t>产出质量</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kern w:val="0"/>
                <w:sz w:val="20"/>
                <w:szCs w:val="20"/>
              </w:rPr>
            </w:pPr>
            <w:r>
              <w:rPr>
                <w:rFonts w:hint="default" w:ascii="Times New Roman" w:hAnsi="Times New Roman" w:eastAsia="宋体" w:cs="Times New Roman"/>
                <w:bCs/>
                <w:color w:val="000000"/>
                <w:kern w:val="0"/>
                <w:sz w:val="20"/>
                <w:szCs w:val="20"/>
              </w:rPr>
              <w:t>质量达标率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val="0"/>
                <w:bCs w:val="0"/>
                <w:color w:val="000000"/>
                <w:kern w:val="0"/>
                <w:sz w:val="20"/>
                <w:szCs w:val="20"/>
                <w:lang w:val="en-US" w:eastAsia="zh-CN"/>
              </w:rPr>
              <w:t>10</w:t>
            </w:r>
            <w:r>
              <w:rPr>
                <w:rFonts w:hint="eastAsia" w:cs="Times New Roman"/>
                <w:b w:val="0"/>
                <w:bCs w:val="0"/>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Cs/>
                <w:color w:val="000000"/>
                <w:kern w:val="0"/>
                <w:sz w:val="20"/>
                <w:szCs w:val="20"/>
              </w:rPr>
            </w:pPr>
            <w:r>
              <w:rPr>
                <w:rFonts w:hint="default" w:ascii="Times New Roman" w:hAnsi="Times New Roman" w:eastAsia="宋体" w:cs="Times New Roman"/>
                <w:b/>
                <w:color w:val="000000"/>
                <w:kern w:val="0"/>
                <w:sz w:val="20"/>
                <w:szCs w:val="20"/>
              </w:rPr>
              <w:t>产出时效</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9.00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9.00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8.50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bCs/>
                <w:i w:val="0"/>
                <w:color w:val="000000"/>
                <w:kern w:val="2"/>
                <w:sz w:val="18"/>
                <w:szCs w:val="18"/>
                <w:u w:val="none"/>
                <w:lang w:val="en-US" w:eastAsia="zh-CN" w:bidi="ar-SA"/>
              </w:rPr>
            </w:pPr>
            <w:r>
              <w:rPr>
                <w:rFonts w:hint="default" w:ascii="Times New Roman Regular" w:hAnsi="Times New Roman Regular" w:eastAsia="宋体" w:cs="Times New Roman Regular"/>
                <w:b/>
                <w:bCs/>
                <w:i w:val="0"/>
                <w:color w:val="000000"/>
                <w:kern w:val="0"/>
                <w:sz w:val="18"/>
                <w:szCs w:val="18"/>
                <w:u w:val="none"/>
                <w:lang w:val="en-US" w:eastAsia="zh-CN" w:bidi="ar"/>
              </w:rPr>
              <w:t xml:space="preserve">8.50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kern w:val="0"/>
                <w:sz w:val="20"/>
                <w:szCs w:val="20"/>
              </w:rPr>
            </w:pPr>
            <w:r>
              <w:rPr>
                <w:rFonts w:hint="default" w:ascii="Times New Roman" w:hAnsi="Times New Roman" w:eastAsia="宋体" w:cs="Times New Roman"/>
                <w:color w:val="000000"/>
                <w:kern w:val="0"/>
                <w:sz w:val="20"/>
                <w:szCs w:val="20"/>
              </w:rPr>
              <w:t>完成及时性</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val="0"/>
                <w:bCs w:val="0"/>
                <w:color w:val="000000"/>
                <w:kern w:val="0"/>
                <w:sz w:val="20"/>
                <w:szCs w:val="20"/>
                <w:lang w:val="en-US" w:eastAsia="zh-CN"/>
              </w:rPr>
              <w:t>10</w:t>
            </w:r>
            <w:r>
              <w:rPr>
                <w:rFonts w:hint="eastAsia" w:cs="Times New Roman"/>
                <w:b w:val="0"/>
                <w:bCs w:val="0"/>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9.00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9.00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bCs/>
                <w:color w:val="000000"/>
                <w:kern w:val="0"/>
                <w:sz w:val="20"/>
                <w:szCs w:val="20"/>
              </w:rPr>
            </w:pPr>
            <w:r>
              <w:rPr>
                <w:rFonts w:hint="default" w:ascii="Times New Roman" w:hAnsi="Times New Roman" w:eastAsia="宋体" w:cs="Times New Roman"/>
                <w:b/>
                <w:color w:val="000000"/>
                <w:kern w:val="0"/>
                <w:sz w:val="20"/>
                <w:szCs w:val="20"/>
              </w:rPr>
              <w:t>产出成本</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10.00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9.00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18"/>
                <w:szCs w:val="18"/>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8.60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000000"/>
                <w:kern w:val="0"/>
                <w:sz w:val="20"/>
                <w:szCs w:val="20"/>
              </w:rPr>
            </w:pPr>
            <w:r>
              <w:rPr>
                <w:rFonts w:hint="default" w:ascii="Times New Roman" w:hAnsi="Times New Roman" w:eastAsia="宋体" w:cs="Times New Roman"/>
                <w:color w:val="000000"/>
                <w:kern w:val="0"/>
                <w:sz w:val="20"/>
                <w:szCs w:val="20"/>
              </w:rPr>
              <w:t>成本节约率</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val="0"/>
                <w:bCs w:val="0"/>
                <w:color w:val="000000"/>
                <w:kern w:val="0"/>
                <w:sz w:val="20"/>
                <w:szCs w:val="20"/>
                <w:lang w:val="en-US" w:eastAsia="zh-CN"/>
              </w:rPr>
              <w:t>10</w:t>
            </w:r>
            <w:r>
              <w:rPr>
                <w:rFonts w:hint="eastAsia" w:cs="Times New Roman"/>
                <w:b w:val="0"/>
                <w:bCs w:val="0"/>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10.00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9.00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8.60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default" w:ascii="Times New Roman" w:hAnsi="Times New Roman" w:eastAsia="宋体" w:cs="Times New Roman"/>
                <w:b/>
                <w:bCs/>
                <w:color w:val="000000"/>
                <w:kern w:val="0"/>
                <w:sz w:val="20"/>
                <w:szCs w:val="20"/>
                <w:lang w:val="en-US" w:eastAsia="zh-CN"/>
              </w:rPr>
              <w:t>效益</w:t>
            </w: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b/>
                <w:color w:val="000000"/>
                <w:kern w:val="0"/>
                <w:sz w:val="20"/>
                <w:szCs w:val="20"/>
              </w:rPr>
              <w:t>项目效益</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20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18.00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16.00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16.00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16.50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16.00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18"/>
                <w:szCs w:val="18"/>
                <w:u w:val="none"/>
                <w:lang w:val="en-US" w:eastAsia="zh-CN" w:bidi="ar"/>
              </w:rPr>
              <w:t xml:space="preserve">16.50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color w:val="000000"/>
                <w:kern w:val="0"/>
                <w:sz w:val="20"/>
                <w:szCs w:val="20"/>
              </w:rPr>
              <w:t>实施效益</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val="0"/>
                <w:bCs w:val="0"/>
                <w:color w:val="000000"/>
                <w:kern w:val="0"/>
                <w:sz w:val="20"/>
                <w:szCs w:val="20"/>
                <w:lang w:val="en-US" w:eastAsia="zh-CN"/>
              </w:rPr>
              <w:t>20</w:t>
            </w:r>
            <w:r>
              <w:rPr>
                <w:rFonts w:hint="eastAsia" w:cs="Times New Roman"/>
                <w:b w:val="0"/>
                <w:bCs w:val="0"/>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18.00 </w:t>
            </w:r>
          </w:p>
        </w:tc>
        <w:tc>
          <w:tcPr>
            <w:tcW w:w="829"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16.00 </w:t>
            </w:r>
          </w:p>
        </w:tc>
        <w:tc>
          <w:tcPr>
            <w:tcW w:w="916"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16.00 </w:t>
            </w:r>
          </w:p>
        </w:tc>
        <w:tc>
          <w:tcPr>
            <w:tcW w:w="881"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16.50 </w:t>
            </w:r>
          </w:p>
        </w:tc>
        <w:tc>
          <w:tcPr>
            <w:tcW w:w="813"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16.00 </w:t>
            </w:r>
          </w:p>
        </w:tc>
        <w:tc>
          <w:tcPr>
            <w:tcW w:w="858" w:type="dxa"/>
            <w:noWrap w:val="0"/>
            <w:vAlign w:val="center"/>
          </w:tcPr>
          <w:p>
            <w:pPr>
              <w:keepNext w:val="0"/>
              <w:keepLines w:val="0"/>
              <w:widowControl/>
              <w:suppressLineNumbers w:val="0"/>
              <w:jc w:val="center"/>
              <w:textAlignment w:val="center"/>
              <w:rPr>
                <w:rFonts w:hint="default" w:ascii="Times New Roman Regular" w:hAnsi="Times New Roman Regular" w:eastAsia="宋体" w:cs="Times New Roman Regular"/>
                <w:b w:val="0"/>
                <w:i w:val="0"/>
                <w:color w:val="000000"/>
                <w:kern w:val="2"/>
                <w:sz w:val="18"/>
                <w:szCs w:val="18"/>
                <w:u w:val="none"/>
                <w:lang w:val="en-US" w:eastAsia="zh-CN" w:bidi="ar-SA"/>
              </w:rPr>
            </w:pPr>
            <w:r>
              <w:rPr>
                <w:rFonts w:hint="default" w:ascii="Times New Roman Regular" w:hAnsi="Times New Roman Regular" w:eastAsia="宋体" w:cs="Times New Roman Regular"/>
                <w:b w:val="0"/>
                <w:i w:val="0"/>
                <w:color w:val="000000"/>
                <w:kern w:val="0"/>
                <w:sz w:val="18"/>
                <w:szCs w:val="18"/>
                <w:u w:val="none"/>
                <w:lang w:val="en-US" w:eastAsia="zh-CN" w:bidi="ar"/>
              </w:rPr>
              <w:t xml:space="preserve">16.50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935" w:type="dxa"/>
            <w:vMerge w:val="continue"/>
            <w:noWrap w:val="0"/>
            <w:vAlign w:val="top"/>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rPr>
            </w:pPr>
          </w:p>
        </w:tc>
        <w:tc>
          <w:tcPr>
            <w:tcW w:w="1936" w:type="dxa"/>
            <w:noWrap w:val="0"/>
            <w:vAlign w:val="center"/>
          </w:tcPr>
          <w:p>
            <w:pPr>
              <w:keepNext w:val="0"/>
              <w:keepLines w:val="0"/>
              <w:pageBreakBefore w:val="0"/>
              <w:widowControl/>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kern w:val="0"/>
                <w:sz w:val="20"/>
                <w:szCs w:val="20"/>
              </w:rPr>
            </w:pPr>
            <w:r>
              <w:rPr>
                <w:rFonts w:hint="default" w:ascii="Times New Roman" w:hAnsi="Times New Roman" w:eastAsia="宋体" w:cs="Times New Roman"/>
                <w:b/>
                <w:color w:val="000000"/>
                <w:kern w:val="0"/>
                <w:sz w:val="20"/>
                <w:szCs w:val="20"/>
              </w:rPr>
              <w:t>满意度</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eastAsia" w:ascii="Times New Roman" w:hAnsi="Times New Roman" w:eastAsia="宋体" w:cs="Times New Roman"/>
                <w:b/>
                <w:bCs/>
                <w:color w:val="000000"/>
                <w:kern w:val="0"/>
                <w:sz w:val="20"/>
                <w:szCs w:val="20"/>
                <w:lang w:val="en-US" w:eastAsia="zh-CN"/>
              </w:rPr>
              <w:t>10</w:t>
            </w:r>
            <w:r>
              <w:rPr>
                <w:rFonts w:hint="eastAsia" w:cs="Times New Roman"/>
                <w:b/>
                <w:bCs/>
                <w:color w:val="000000"/>
                <w:kern w:val="0"/>
                <w:sz w:val="20"/>
                <w:szCs w:val="20"/>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8.00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7.00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8.00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8.00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8.00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7.80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2871" w:type="dxa"/>
            <w:gridSpan w:val="2"/>
            <w:noWrap w:val="0"/>
            <w:vAlign w:val="center"/>
          </w:tcPr>
          <w:p>
            <w:pPr>
              <w:keepNext w:val="0"/>
              <w:keepLines w:val="0"/>
              <w:pageBreakBefore w:val="0"/>
              <w:widowControl/>
              <w:kinsoku/>
              <w:wordWrap/>
              <w:overflowPunct/>
              <w:topLinePunct w:val="0"/>
              <w:autoSpaceDE/>
              <w:autoSpaceDN/>
              <w:bidi w:val="0"/>
              <w:adjustRightInd w:val="0"/>
              <w:snapToGrid w:val="0"/>
              <w:jc w:val="both"/>
              <w:textAlignment w:val="auto"/>
              <w:rPr>
                <w:rFonts w:hint="default" w:ascii="Times New Roman" w:hAnsi="Times New Roman" w:eastAsia="宋体" w:cs="Times New Roman"/>
                <w:b/>
                <w:color w:val="000000"/>
                <w:kern w:val="0"/>
                <w:sz w:val="20"/>
                <w:szCs w:val="20"/>
                <w:lang w:val="en-US" w:eastAsia="zh-CN"/>
              </w:rPr>
            </w:pPr>
            <w:r>
              <w:rPr>
                <w:rFonts w:hint="default" w:ascii="Times New Roman" w:hAnsi="Times New Roman" w:eastAsia="宋体" w:cs="Times New Roman"/>
                <w:b/>
                <w:color w:val="000000"/>
                <w:kern w:val="0"/>
                <w:sz w:val="20"/>
                <w:szCs w:val="20"/>
                <w:lang w:val="en-US" w:eastAsia="zh-CN"/>
              </w:rPr>
              <w:t>合计</w:t>
            </w:r>
          </w:p>
        </w:tc>
        <w:tc>
          <w:tcPr>
            <w:tcW w:w="833" w:type="dxa"/>
            <w:noWrap w:val="0"/>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kern w:val="0"/>
                <w:sz w:val="20"/>
                <w:szCs w:val="20"/>
                <w:lang w:val="en-US" w:eastAsia="zh-CN"/>
              </w:rPr>
            </w:pPr>
            <w:r>
              <w:rPr>
                <w:rFonts w:hint="default" w:ascii="Times New Roman" w:hAnsi="Times New Roman" w:eastAsia="宋体" w:cs="Times New Roman"/>
                <w:b/>
                <w:lang w:val="en-US" w:eastAsia="zh-CN"/>
              </w:rPr>
              <w:t>100</w:t>
            </w:r>
            <w:r>
              <w:rPr>
                <w:rFonts w:hint="eastAsia" w:cs="Times New Roman"/>
                <w:b/>
                <w:lang w:val="en-US" w:eastAsia="zh-CN"/>
              </w:rPr>
              <w:t>.00</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83.40 </w:t>
            </w:r>
          </w:p>
        </w:tc>
        <w:tc>
          <w:tcPr>
            <w:tcW w:w="829"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83.70 </w:t>
            </w:r>
          </w:p>
        </w:tc>
        <w:tc>
          <w:tcPr>
            <w:tcW w:w="916"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81.20 </w:t>
            </w:r>
          </w:p>
        </w:tc>
        <w:tc>
          <w:tcPr>
            <w:tcW w:w="881"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81.20 </w:t>
            </w:r>
          </w:p>
        </w:tc>
        <w:tc>
          <w:tcPr>
            <w:tcW w:w="813"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82.90 </w:t>
            </w:r>
          </w:p>
        </w:tc>
        <w:tc>
          <w:tcPr>
            <w:tcW w:w="858" w:type="dxa"/>
            <w:noWrap w:val="0"/>
            <w:vAlign w:val="center"/>
          </w:tcPr>
          <w:p>
            <w:pPr>
              <w:keepNext w:val="0"/>
              <w:keepLines w:val="0"/>
              <w:widowControl/>
              <w:suppressLineNumbers w:val="0"/>
              <w:jc w:val="center"/>
              <w:textAlignment w:val="center"/>
              <w:rPr>
                <w:rFonts w:hint="default" w:ascii="Times New Roman Bold" w:hAnsi="Times New Roman Bold" w:eastAsia="宋体" w:cs="Times New Roman Bold"/>
                <w:b/>
                <w:bCs/>
                <w:i w:val="0"/>
                <w:color w:val="000000"/>
                <w:kern w:val="2"/>
                <w:sz w:val="20"/>
                <w:szCs w:val="20"/>
                <w:u w:val="none"/>
                <w:lang w:val="en-US" w:eastAsia="zh-CN" w:bidi="ar-SA"/>
              </w:rPr>
            </w:pPr>
            <w:r>
              <w:rPr>
                <w:rFonts w:hint="default" w:ascii="Times New Roman Bold" w:hAnsi="Times New Roman Bold" w:eastAsia="宋体" w:cs="Times New Roman Bold"/>
                <w:b/>
                <w:bCs/>
                <w:i w:val="0"/>
                <w:color w:val="000000"/>
                <w:kern w:val="0"/>
                <w:sz w:val="20"/>
                <w:szCs w:val="20"/>
                <w:u w:val="none"/>
                <w:lang w:val="en-US" w:eastAsia="zh-CN" w:bidi="ar"/>
              </w:rPr>
              <w:t xml:space="preserve">82.48 </w:t>
            </w:r>
          </w:p>
        </w:tc>
      </w:tr>
    </w:tbl>
    <w:p>
      <w:pPr>
        <w:jc w:val="left"/>
        <w:rPr>
          <w:rFonts w:hint="eastAsia"/>
        </w:rPr>
      </w:pPr>
    </w:p>
    <w:p>
      <w:pPr>
        <w:pStyle w:val="28"/>
        <w:keepNext w:val="0"/>
        <w:keepLines w:val="0"/>
        <w:pageBreakBefore w:val="0"/>
        <w:widowControl w:val="0"/>
        <w:kinsoku/>
        <w:wordWrap/>
        <w:overflowPunct/>
        <w:topLinePunct w:val="0"/>
        <w:autoSpaceDE/>
        <w:autoSpaceDN/>
        <w:bidi w:val="0"/>
        <w:adjustRightInd/>
        <w:snapToGrid/>
        <w:ind w:firstLine="0"/>
        <w:textAlignment w:val="auto"/>
        <w:rPr>
          <w:rFonts w:hint="eastAsia"/>
          <w:sz w:val="24"/>
          <w:szCs w:val="24"/>
          <w:lang w:eastAsia="zh-CN"/>
        </w:rPr>
      </w:pPr>
      <w:r>
        <w:rPr>
          <w:rFonts w:hint="eastAsia"/>
          <w:sz w:val="24"/>
          <w:szCs w:val="24"/>
          <w:lang w:eastAsia="zh-CN"/>
        </w:rPr>
        <w:t>二、专家评价综合意见</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2"/>
        <w:gridCol w:w="74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2" w:type="dxa"/>
            <w:noWrap w:val="0"/>
            <w:vAlign w:val="top"/>
          </w:tcPr>
          <w:p>
            <w:pPr>
              <w:spacing w:line="400" w:lineRule="exact"/>
              <w:jc w:val="center"/>
              <w:rPr>
                <w:rFonts w:hint="eastAsia" w:ascii="宋体" w:hAnsi="宋体" w:eastAsia="宋体" w:cs="宋体"/>
                <w:b/>
                <w:sz w:val="24"/>
              </w:rPr>
            </w:pPr>
            <w:r>
              <w:rPr>
                <w:rFonts w:hint="eastAsia" w:ascii="宋体" w:hAnsi="宋体" w:eastAsia="宋体" w:cs="宋体"/>
                <w:sz w:val="24"/>
              </w:rPr>
              <w:t>评价得分</w:t>
            </w:r>
          </w:p>
        </w:tc>
        <w:tc>
          <w:tcPr>
            <w:tcW w:w="7445" w:type="dxa"/>
            <w:noWrap w:val="0"/>
            <w:vAlign w:val="top"/>
          </w:tcPr>
          <w:p>
            <w:pPr>
              <w:spacing w:line="400" w:lineRule="exact"/>
              <w:jc w:val="center"/>
              <w:rPr>
                <w:rFonts w:hint="default" w:ascii="宋体" w:hAnsi="宋体" w:eastAsia="宋体" w:cs="宋体"/>
                <w:b/>
                <w:sz w:val="24"/>
                <w:lang w:eastAsia="zh-CN"/>
              </w:rPr>
            </w:pPr>
            <w:r>
              <w:rPr>
                <w:rFonts w:hint="default" w:ascii="宋体" w:hAnsi="宋体" w:cs="宋体"/>
                <w:b/>
                <w:sz w:val="24"/>
                <w:lang w:eastAsia="zh-CN"/>
              </w:rPr>
              <w:t>82.48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2" w:type="dxa"/>
            <w:noWrap w:val="0"/>
            <w:vAlign w:val="center"/>
          </w:tcPr>
          <w:p>
            <w:pPr>
              <w:spacing w:line="400" w:lineRule="exact"/>
              <w:ind w:left="0" w:leftChars="0" w:right="0" w:rightChars="0" w:firstLine="0" w:firstLineChars="0"/>
              <w:jc w:val="center"/>
              <w:rPr>
                <w:rFonts w:hint="eastAsia" w:ascii="宋体" w:hAnsi="宋体" w:eastAsia="宋体" w:cs="宋体"/>
                <w:b/>
                <w:sz w:val="24"/>
              </w:rPr>
            </w:pPr>
            <w:r>
              <w:rPr>
                <w:rFonts w:hint="eastAsia" w:ascii="宋体" w:hAnsi="宋体" w:eastAsia="宋体" w:cs="宋体"/>
                <w:sz w:val="24"/>
              </w:rPr>
              <w:t>绩效级别</w:t>
            </w:r>
          </w:p>
        </w:tc>
        <w:tc>
          <w:tcPr>
            <w:tcW w:w="7445" w:type="dxa"/>
            <w:noWrap w:val="0"/>
            <w:vAlign w:val="top"/>
          </w:tcPr>
          <w:p>
            <w:pPr>
              <w:ind w:firstLine="228" w:firstLineChars="95"/>
              <w:rPr>
                <w:rFonts w:hint="eastAsia" w:ascii="宋体" w:hAnsi="宋体" w:eastAsia="宋体" w:cs="宋体"/>
                <w:sz w:val="24"/>
                <w:szCs w:val="24"/>
              </w:rPr>
            </w:pPr>
            <w:r>
              <w:rPr>
                <w:rFonts w:hint="eastAsia" w:ascii="宋体" w:hAnsi="宋体" w:eastAsia="宋体" w:cs="宋体"/>
                <w:sz w:val="24"/>
                <w:szCs w:val="24"/>
              </w:rPr>
              <w:t>优(90分以上)</w:t>
            </w:r>
            <w:r>
              <w:rPr>
                <w:rFonts w:hint="eastAsia" w:ascii="宋体" w:hAnsi="宋体" w:eastAsia="宋体" w:cs="宋体"/>
                <w:sz w:val="24"/>
                <w:szCs w:val="24"/>
                <w:lang w:eastAsia="zh-CN"/>
              </w:rPr>
              <w:t>□</w:t>
            </w:r>
            <w:r>
              <w:rPr>
                <w:rFonts w:hint="eastAsia" w:ascii="宋体" w:hAnsi="宋体" w:eastAsia="宋体" w:cs="宋体"/>
                <w:sz w:val="24"/>
                <w:szCs w:val="24"/>
              </w:rPr>
              <w:t xml:space="preserve">           良(80-90分)</w:t>
            </w:r>
            <w:r>
              <w:rPr>
                <w:rFonts w:hint="default" w:ascii="宋体" w:hAnsi="宋体" w:cs="宋体"/>
                <w:sz w:val="24"/>
                <w:szCs w:val="24"/>
                <w:lang w:eastAsia="zh-CN"/>
              </w:rPr>
              <w:sym w:font="Wingdings 2" w:char="0052"/>
            </w:r>
            <w:r>
              <w:rPr>
                <w:rFonts w:hint="eastAsia" w:ascii="宋体" w:hAnsi="宋体" w:eastAsia="宋体" w:cs="宋体"/>
                <w:sz w:val="24"/>
                <w:szCs w:val="24"/>
              </w:rPr>
              <w:t xml:space="preserve">       </w:t>
            </w:r>
          </w:p>
          <w:p>
            <w:pPr>
              <w:spacing w:line="400" w:lineRule="exact"/>
              <w:jc w:val="left"/>
              <w:rPr>
                <w:rFonts w:hint="eastAsia" w:ascii="宋体" w:hAnsi="宋体" w:eastAsia="宋体" w:cs="宋体"/>
                <w:b/>
                <w:sz w:val="24"/>
              </w:rPr>
            </w:pPr>
            <w:r>
              <w:rPr>
                <w:rFonts w:hint="eastAsia" w:ascii="宋体" w:hAnsi="宋体" w:eastAsia="宋体" w:cs="宋体"/>
                <w:sz w:val="24"/>
                <w:szCs w:val="24"/>
              </w:rPr>
              <w:t xml:space="preserve">  中（60-80分）□          差（60分以下）□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97" w:type="dxa"/>
            <w:gridSpan w:val="2"/>
            <w:noWrap w:val="0"/>
            <w:vAlign w:val="top"/>
          </w:tcPr>
          <w:p>
            <w:pPr>
              <w:spacing w:line="360" w:lineRule="auto"/>
              <w:ind w:firstLine="480" w:firstLineChars="200"/>
              <w:rPr>
                <w:rFonts w:hint="eastAsia" w:ascii="宋体" w:hAnsi="宋体" w:eastAsia="宋体" w:cs="宋体"/>
                <w:b/>
                <w:sz w:val="24"/>
              </w:rPr>
            </w:pPr>
            <w:r>
              <w:rPr>
                <w:rFonts w:hint="eastAsia" w:ascii="宋体" w:hAnsi="宋体" w:eastAsia="宋体" w:cs="宋体"/>
                <w:b/>
                <w:sz w:val="24"/>
              </w:rPr>
              <w:t>问题：</w:t>
            </w:r>
          </w:p>
          <w:p>
            <w:pPr>
              <w:pStyle w:val="23"/>
              <w:autoSpaceDN w:val="0"/>
              <w:spacing w:line="360" w:lineRule="auto"/>
              <w:ind w:firstLine="480" w:firstLineChars="200"/>
              <w:jc w:val="left"/>
              <w:rPr>
                <w:rFonts w:hint="eastAsia" w:ascii="宋体" w:hAnsi="宋体" w:eastAsia="宋体" w:cs="宋体"/>
                <w:b/>
                <w:lang w:eastAsia="zh-CN"/>
              </w:rPr>
            </w:pPr>
            <w:r>
              <w:rPr>
                <w:rFonts w:hint="eastAsia" w:ascii="宋体" w:hAnsi="宋体" w:eastAsia="宋体" w:cs="宋体"/>
                <w:b/>
                <w:lang w:eastAsia="zh-CN"/>
              </w:rPr>
              <w:t>一、决策方面：</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1.前期需求调研不充分。健康疗休养活动未对劳模的诉求、存在的困难进行深入探访和分析，未形成针对性的疗休养方案。</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2.绩效目标设置的科学性不足，指标设置不够细化。如：质量指标以人均补贴额度代替不合理，应是补助发放的及时准确性、疗养的质量、体检的质量标准；进度指标设置不够细化，可再进一步细化到月度区间；可持续影响指标设定不够精准，可设定通过疗养和体检，建立健全劳模健康管理系统，持续监测和改善健康状况，提高生活质量等；服务对象满意度指标设置为“健康疗休养和体检满意度”，满意度调查对象未覆盖享受春节慰问、享受生活困难补助和享受特殊困难补助的人员，受益对象不完整。</w:t>
            </w:r>
          </w:p>
          <w:p>
            <w:pPr>
              <w:adjustRightInd w:val="0"/>
              <w:spacing w:line="360" w:lineRule="auto"/>
              <w:ind w:firstLine="640"/>
              <w:rPr>
                <w:rFonts w:hint="default" w:ascii="Times New Roman Regular" w:hAnsi="Times New Roman Regular" w:eastAsia="宋体" w:cs="Times New Roman Regular"/>
                <w:color w:val="000000"/>
                <w:kern w:val="0"/>
                <w:sz w:val="24"/>
                <w:szCs w:val="24"/>
                <w:lang w:eastAsia="zh-Hans"/>
              </w:rPr>
            </w:pPr>
            <w:r>
              <w:rPr>
                <w:rFonts w:hint="default" w:ascii="Times New Roman Regular" w:hAnsi="Times New Roman Regular" w:eastAsia="宋体" w:cs="Times New Roman Regular"/>
                <w:color w:val="000000"/>
                <w:kern w:val="0"/>
                <w:sz w:val="24"/>
                <w:szCs w:val="24"/>
                <w:lang w:eastAsia="zh-Hans"/>
              </w:rPr>
              <w:t>3.标准设定和补助测算原则及精准度不足。如特困补助金预算申报1250人，金额640.00万元，标准是按照本人自付医疗费用20%–50%予以补贴(0.1–5万元不等)，20%‒50%区间取值原则和标准不明确。参与健康疗休养和健康体检劳模范围、比例以及原则不明确。</w:t>
            </w:r>
          </w:p>
          <w:p>
            <w:pPr>
              <w:adjustRightInd w:val="0"/>
              <w:spacing w:line="360" w:lineRule="auto"/>
              <w:ind w:firstLine="640"/>
              <w:rPr>
                <w:rFonts w:hint="eastAsia" w:ascii="宋体" w:hAnsi="宋体" w:eastAsia="宋体" w:cs="宋体"/>
                <w:b/>
                <w:szCs w:val="22"/>
                <w:lang w:eastAsia="zh-CN"/>
              </w:rPr>
            </w:pPr>
            <w:r>
              <w:rPr>
                <w:rFonts w:hint="default" w:ascii="Times New Roman Regular" w:hAnsi="Times New Roman Regular" w:eastAsia="宋体" w:cs="Times New Roman Regular"/>
                <w:color w:val="000000"/>
                <w:kern w:val="0"/>
                <w:sz w:val="24"/>
                <w:szCs w:val="24"/>
                <w:lang w:eastAsia="zh-Hans"/>
              </w:rPr>
              <w:t>4.预算申报文本不够规范，各级资金分担的原则未说明。纳入各类保障的劳模人数来源、统计时间节点等预算基础信息呈现不清晰，疫情存在较大不确定性的年度，对休养费的预算决策科学性不够。例如春节慰问劳模人数预算13150人，实际12236人，差异较大；2020年度预算包含休养费512.00万元，因疫情影响未开展该项服务，2021年度仍申报并持续未开展该服务。</w:t>
            </w:r>
          </w:p>
          <w:p>
            <w:pPr>
              <w:pStyle w:val="23"/>
              <w:autoSpaceDN w:val="0"/>
              <w:spacing w:line="360" w:lineRule="auto"/>
              <w:ind w:firstLine="480" w:firstLineChars="200"/>
              <w:jc w:val="both"/>
              <w:rPr>
                <w:rFonts w:hint="eastAsia" w:ascii="宋体" w:hAnsi="宋体" w:eastAsia="宋体" w:cs="宋体"/>
                <w:kern w:val="2"/>
                <w:sz w:val="24"/>
                <w:szCs w:val="24"/>
                <w:lang w:val="en-US" w:eastAsia="zh-CN" w:bidi="ar-SA"/>
              </w:rPr>
            </w:pPr>
            <w:r>
              <w:rPr>
                <w:rFonts w:hint="eastAsia" w:ascii="宋体" w:hAnsi="宋体" w:eastAsia="宋体" w:cs="宋体"/>
                <w:b/>
                <w:szCs w:val="22"/>
                <w:lang w:eastAsia="zh-CN"/>
              </w:rPr>
              <w:t>二、管理方面：</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1.项目缺少实施方案，项目执行的合规性不足；过程管理不够严谨，劳模登记信息系统更新不及时。存在两笔退回劳模的慰问金情况。</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Hans"/>
              </w:rPr>
            </w:pPr>
            <w:r>
              <w:rPr>
                <w:rFonts w:hint="default" w:ascii="Times New Roman Regular" w:hAnsi="Times New Roman Regular" w:eastAsia="宋体" w:cs="Times New Roman Regular"/>
                <w:color w:val="000000"/>
                <w:kern w:val="0"/>
                <w:sz w:val="24"/>
                <w:szCs w:val="24"/>
                <w:lang w:eastAsia="zh-Hans"/>
              </w:rPr>
              <w:t>2.政府采购与政府购买服务管理规范性不足。劳模体检服务涉及政府采购和政府购买服务，本项目直接指定首都医科大学附属北京康复医院劳模健康管理中心提供服务，且明确两档服务价格，采购管理的决策过程、决策科学性、规范性、成本控制有效性均不足；体检中心的遴选过程资料不够详细；与体检中心签订的合同内容界定的不够清楚；合同条款有关双方权利义务细化不足，例如缺少要求乙方对劳模本人参加体检进行严格把关等条款。</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Hans"/>
              </w:rPr>
              <w:t>3.</w:t>
            </w:r>
            <w:r>
              <w:rPr>
                <w:rFonts w:hint="default" w:ascii="Times New Roman Regular" w:hAnsi="Times New Roman Regular" w:eastAsia="宋体" w:cs="Times New Roman Regular"/>
                <w:color w:val="000000"/>
                <w:kern w:val="0"/>
                <w:sz w:val="24"/>
                <w:szCs w:val="24"/>
                <w:lang w:eastAsia="zh-CN"/>
              </w:rPr>
              <w:t>预算调整审批手续不够完善，由于疫情影响，劳模疗休养未开展，生活困难帮扶金和特殊困难帮扶金实际执行与预算批复存在不一致现象，预算执行调整手续不够完善。</w:t>
            </w:r>
          </w:p>
          <w:p>
            <w:pPr>
              <w:pStyle w:val="23"/>
              <w:autoSpaceDN w:val="0"/>
              <w:spacing w:line="360" w:lineRule="auto"/>
              <w:ind w:firstLine="480" w:firstLineChars="200"/>
              <w:jc w:val="both"/>
              <w:rPr>
                <w:rFonts w:hint="eastAsia" w:ascii="宋体" w:hAnsi="宋体" w:eastAsia="宋体" w:cs="宋体"/>
                <w:b/>
                <w:lang w:eastAsia="zh-CN"/>
              </w:rPr>
            </w:pPr>
            <w:r>
              <w:rPr>
                <w:rFonts w:hint="default" w:ascii="Times New Roman Regular" w:hAnsi="Times New Roman Regular" w:eastAsia="宋体" w:cs="Times New Roman Regular"/>
                <w:color w:val="000000"/>
                <w:kern w:val="0"/>
                <w:sz w:val="24"/>
                <w:szCs w:val="24"/>
                <w:lang w:eastAsia="zh-CN"/>
              </w:rPr>
              <w:t>4.保障措施不够充分。采取统一标准对劳模进行关爱帮扶，未区分劳模所在单位的性质、财力保障能力和保障意愿等因素制定不同的保障措施，例如行政事业单位通常使用基本经费或工会经费对全体在职和离退休职工（包含劳模在内）负担一年一度的体检经费，与该项目内容重复，且资金来源均为北京市财政资金。对于劳模的关爱帮扶资金需求，部分使用财政预算资金，部分使用工会经费，未提供所依据的制度，也未作为项目的主要背景在申报文本和绩效报告中进行阐述。</w:t>
            </w:r>
          </w:p>
          <w:p>
            <w:pPr>
              <w:pStyle w:val="23"/>
              <w:autoSpaceDN w:val="0"/>
              <w:spacing w:line="360" w:lineRule="auto"/>
              <w:ind w:firstLine="480" w:firstLineChars="200"/>
              <w:jc w:val="left"/>
              <w:rPr>
                <w:rFonts w:hint="eastAsia" w:ascii="宋体" w:hAnsi="宋体" w:eastAsia="宋体" w:cs="宋体"/>
                <w:b/>
                <w:lang w:eastAsia="zh-CN"/>
              </w:rPr>
            </w:pPr>
            <w:r>
              <w:rPr>
                <w:rFonts w:hint="eastAsia" w:ascii="宋体" w:hAnsi="宋体" w:eastAsia="宋体" w:cs="宋体"/>
                <w:b/>
                <w:lang w:eastAsia="zh-CN"/>
              </w:rPr>
              <w:t>三、绩效方面：</w:t>
            </w:r>
          </w:p>
          <w:p>
            <w:pPr>
              <w:pStyle w:val="23"/>
              <w:autoSpaceDN w:val="0"/>
              <w:spacing w:line="360" w:lineRule="auto"/>
              <w:ind w:firstLine="480" w:firstLineChars="200"/>
              <w:jc w:val="both"/>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1.未能有效整合、呈现和提供绩效成果支撑资料。缺少对项目从决策、管理到绩效资料的完整归集，反映绩效目标完成情况的证据资料不足，不利于项目绩效目标设定</w:t>
            </w:r>
            <w:r>
              <w:rPr>
                <w:rFonts w:hint="default" w:ascii="Times New Roman Regular" w:hAnsi="Times New Roman Regular" w:eastAsia="宋体" w:cs="Times New Roman Regular"/>
                <w:color w:val="000000"/>
                <w:kern w:val="0"/>
                <w:sz w:val="24"/>
                <w:szCs w:val="24"/>
                <w:lang w:eastAsia="zh-Hans"/>
              </w:rPr>
              <w:t>和</w:t>
            </w:r>
            <w:r>
              <w:rPr>
                <w:rFonts w:hint="default" w:ascii="Times New Roman Regular" w:hAnsi="Times New Roman Regular" w:eastAsia="宋体" w:cs="Times New Roman Regular"/>
                <w:color w:val="000000"/>
                <w:kern w:val="0"/>
                <w:sz w:val="24"/>
                <w:szCs w:val="24"/>
                <w:lang w:eastAsia="zh-CN"/>
              </w:rPr>
              <w:t>项目管理效率。</w:t>
            </w:r>
          </w:p>
          <w:p>
            <w:pPr>
              <w:pStyle w:val="23"/>
              <w:autoSpaceDN w:val="0"/>
              <w:spacing w:line="360" w:lineRule="auto"/>
              <w:ind w:firstLine="480" w:firstLineChars="200"/>
              <w:jc w:val="left"/>
              <w:rPr>
                <w:rFonts w:hint="eastAsia" w:ascii="宋体" w:hAnsi="宋体" w:eastAsia="宋体" w:cs="宋体"/>
                <w:kern w:val="2"/>
                <w:sz w:val="24"/>
                <w:szCs w:val="24"/>
                <w:lang w:val="en-US" w:eastAsia="zh-CN" w:bidi="ar-SA"/>
              </w:rPr>
            </w:pPr>
            <w:r>
              <w:rPr>
                <w:rFonts w:hint="default" w:ascii="Times New Roman Regular" w:hAnsi="Times New Roman Regular" w:eastAsia="宋体" w:cs="Times New Roman Regular"/>
                <w:color w:val="000000"/>
                <w:kern w:val="0"/>
                <w:sz w:val="24"/>
                <w:szCs w:val="24"/>
                <w:lang w:eastAsia="zh-CN"/>
              </w:rPr>
              <w:t>2.反映项目实施效果的证据资料不全面</w:t>
            </w:r>
            <w:r>
              <w:rPr>
                <w:rFonts w:hint="default" w:ascii="Times New Roman Regular" w:hAnsi="Times New Roman Regular" w:eastAsia="宋体" w:cs="Times New Roman Regular"/>
                <w:color w:val="000000"/>
                <w:kern w:val="0"/>
                <w:sz w:val="24"/>
                <w:szCs w:val="24"/>
                <w:lang w:eastAsia="zh-Hans"/>
              </w:rPr>
              <w:t>。</w:t>
            </w:r>
            <w:r>
              <w:rPr>
                <w:rFonts w:hint="default" w:ascii="Times New Roman Regular" w:hAnsi="Times New Roman Regular" w:eastAsia="宋体" w:cs="Times New Roman Regular"/>
                <w:color w:val="000000"/>
                <w:kern w:val="0"/>
                <w:sz w:val="24"/>
                <w:szCs w:val="24"/>
                <w:lang w:eastAsia="zh-CN"/>
              </w:rPr>
              <w:t>服务人群覆盖不完整，缺少对享受到春节慰问、生活困难补助、特殊困难补助的劳模的满意度调查；缺少项目整体的</w:t>
            </w:r>
            <w:r>
              <w:rPr>
                <w:rFonts w:hint="default" w:ascii="Times New Roman Regular" w:hAnsi="Times New Roman Regular" w:eastAsia="宋体" w:cs="Times New Roman Regular"/>
                <w:color w:val="000000"/>
                <w:kern w:val="0"/>
                <w:sz w:val="24"/>
                <w:szCs w:val="24"/>
                <w:lang w:eastAsia="zh-Hans"/>
              </w:rPr>
              <w:t>满意度调查</w:t>
            </w:r>
            <w:r>
              <w:rPr>
                <w:rFonts w:hint="default" w:ascii="Times New Roman Regular" w:hAnsi="Times New Roman Regular" w:eastAsia="宋体" w:cs="Times New Roman Regular"/>
                <w:color w:val="000000"/>
                <w:kern w:val="0"/>
                <w:sz w:val="24"/>
                <w:szCs w:val="24"/>
                <w:lang w:eastAsia="zh-CN"/>
              </w:rPr>
              <w:t>统计分析及往年数据的统计对比，不利于项目的效果呈现。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97" w:type="dxa"/>
            <w:gridSpan w:val="2"/>
            <w:noWrap w:val="0"/>
            <w:vAlign w:val="top"/>
          </w:tcPr>
          <w:p>
            <w:pPr>
              <w:pStyle w:val="23"/>
              <w:autoSpaceDN w:val="0"/>
              <w:spacing w:line="264" w:lineRule="auto"/>
              <w:ind w:firstLine="480" w:firstLineChars="200"/>
              <w:jc w:val="left"/>
              <w:rPr>
                <w:rFonts w:hint="eastAsia" w:ascii="宋体" w:hAnsi="宋体" w:eastAsia="宋体" w:cs="宋体"/>
                <w:b/>
                <w:lang w:eastAsia="zh-CN"/>
              </w:rPr>
            </w:pPr>
            <w:r>
              <w:rPr>
                <w:rFonts w:hint="eastAsia" w:ascii="宋体" w:hAnsi="宋体" w:eastAsia="宋体" w:cs="宋体"/>
                <w:b/>
                <w:lang w:eastAsia="zh-CN"/>
              </w:rPr>
              <w:t>建议：</w:t>
            </w:r>
          </w:p>
          <w:p>
            <w:pPr>
              <w:pStyle w:val="23"/>
              <w:numPr>
                <w:ilvl w:val="0"/>
                <w:numId w:val="1"/>
              </w:numPr>
              <w:autoSpaceDN w:val="0"/>
              <w:spacing w:line="264" w:lineRule="auto"/>
              <w:ind w:firstLine="480" w:firstLineChars="200"/>
              <w:jc w:val="left"/>
              <w:rPr>
                <w:rFonts w:hint="eastAsia" w:ascii="宋体" w:hAnsi="宋体" w:eastAsia="宋体" w:cs="宋体"/>
                <w:b/>
                <w:lang w:eastAsia="zh-CN"/>
              </w:rPr>
            </w:pPr>
            <w:r>
              <w:rPr>
                <w:rFonts w:hint="eastAsia" w:ascii="宋体" w:hAnsi="宋体" w:eastAsia="宋体" w:cs="宋体"/>
                <w:b/>
                <w:lang w:eastAsia="zh-CN"/>
              </w:rPr>
              <w:t>决策方面：</w:t>
            </w:r>
          </w:p>
          <w:p>
            <w:pPr>
              <w:pStyle w:val="23"/>
              <w:autoSpaceDN w:val="0"/>
              <w:spacing w:line="360" w:lineRule="auto"/>
              <w:ind w:firstLine="480" w:firstLineChars="200"/>
              <w:jc w:val="left"/>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1.进行充分的前期调研，深入了解劳模现状，及时制定规划和计划，引领和指导年度项目实施，为年度预算奠定基础。</w:t>
            </w:r>
          </w:p>
          <w:p>
            <w:pPr>
              <w:pStyle w:val="23"/>
              <w:autoSpaceDN w:val="0"/>
              <w:spacing w:line="360" w:lineRule="auto"/>
              <w:ind w:firstLine="480" w:firstLineChars="200"/>
              <w:jc w:val="left"/>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2.科学有效填写项目绩效目标申报表，各类指标设置要科学有效、细化量化可衡量，对劳模疗休养的活动安排、体检工作安排、补助发放工作部署等，均应填写详细的数量、达到的质量、各项工作开展过程涉及到的各项事宜的进度、各工作的满意度等；绩效指标是衡量项目最终产出的对标文件，其填写需合理有效可测量</w:t>
            </w:r>
            <w:r>
              <w:rPr>
                <w:rFonts w:hint="default" w:ascii="Times New Roman Regular" w:hAnsi="Times New Roman Regular" w:eastAsia="宋体" w:cs="Times New Roman Regular"/>
                <w:color w:val="000000"/>
                <w:kern w:val="0"/>
                <w:sz w:val="24"/>
                <w:szCs w:val="24"/>
                <w:lang w:eastAsia="zh-Hans"/>
              </w:rPr>
              <w:t>。</w:t>
            </w:r>
          </w:p>
          <w:p>
            <w:pPr>
              <w:pStyle w:val="23"/>
              <w:autoSpaceDN w:val="0"/>
              <w:spacing w:line="360" w:lineRule="auto"/>
              <w:ind w:firstLine="480" w:firstLineChars="200"/>
              <w:jc w:val="left"/>
              <w:rPr>
                <w:rFonts w:hint="eastAsia" w:ascii="宋体" w:hAnsi="宋体" w:eastAsia="宋体" w:cs="宋体"/>
                <w:kern w:val="2"/>
                <w:sz w:val="24"/>
                <w:szCs w:val="24"/>
                <w:lang w:val="en-US" w:eastAsia="zh-CN" w:bidi="ar-SA"/>
              </w:rPr>
            </w:pPr>
            <w:r>
              <w:rPr>
                <w:rFonts w:hint="default" w:ascii="Times New Roman Regular" w:hAnsi="Times New Roman Regular" w:eastAsia="宋体" w:cs="Times New Roman Regular"/>
                <w:color w:val="000000"/>
                <w:kern w:val="0"/>
                <w:sz w:val="24"/>
                <w:szCs w:val="24"/>
                <w:lang w:eastAsia="zh-CN"/>
              </w:rPr>
              <w:t>3.加强预</w:t>
            </w:r>
            <w:r>
              <w:rPr>
                <w:rFonts w:hint="eastAsia" w:ascii="宋体" w:hAnsi="宋体" w:eastAsia="宋体" w:cs="宋体"/>
                <w:color w:val="000000"/>
                <w:kern w:val="0"/>
                <w:sz w:val="24"/>
                <w:szCs w:val="24"/>
                <w:lang w:eastAsia="zh-CN"/>
              </w:rPr>
              <w:t>算管理，提高预算编制依据，合理使用财政资金，保证财政资金专款专用，提高财政资金的使用效率；在年初编制预算时，应充分考虑疫情影响，结合上一年度该项工作开展的实际情况，合理安排预算，保证各项工作有序开展，有效执行项目预算，避免大幅度调整或退回财政资金的情况发生，提升预算的科学性。</w:t>
            </w:r>
          </w:p>
          <w:p>
            <w:pPr>
              <w:pStyle w:val="23"/>
              <w:numPr>
                <w:ilvl w:val="0"/>
                <w:numId w:val="1"/>
              </w:numPr>
              <w:autoSpaceDN w:val="0"/>
              <w:spacing w:line="264" w:lineRule="auto"/>
              <w:ind w:left="0" w:leftChars="0" w:firstLine="480" w:firstLineChars="200"/>
              <w:jc w:val="left"/>
              <w:rPr>
                <w:rFonts w:hint="eastAsia" w:ascii="宋体" w:hAnsi="宋体" w:eastAsia="宋体" w:cs="宋体"/>
                <w:b/>
                <w:lang w:eastAsia="zh-CN"/>
              </w:rPr>
            </w:pPr>
            <w:r>
              <w:rPr>
                <w:rFonts w:hint="eastAsia" w:ascii="宋体" w:hAnsi="宋体" w:eastAsia="宋体" w:cs="宋体"/>
                <w:b/>
                <w:lang w:eastAsia="zh-CN"/>
              </w:rPr>
              <w:t>管理方面：</w:t>
            </w:r>
          </w:p>
          <w:p>
            <w:pPr>
              <w:pStyle w:val="23"/>
              <w:keepNext w:val="0"/>
              <w:keepLines w:val="0"/>
              <w:pageBreakBefore w:val="0"/>
              <w:widowControl w:val="0"/>
              <w:kinsoku/>
              <w:wordWrap/>
              <w:overflowPunct/>
              <w:topLinePunct w:val="0"/>
              <w:autoSpaceDE/>
              <w:autoSpaceDN w:val="0"/>
              <w:bidi w:val="0"/>
              <w:adjustRightInd/>
              <w:snapToGrid/>
              <w:spacing w:line="360" w:lineRule="auto"/>
              <w:ind w:left="0" w:leftChars="0" w:right="0" w:rightChars="0" w:firstLine="480" w:firstLineChars="200"/>
              <w:jc w:val="left"/>
              <w:textAlignment w:val="auto"/>
              <w:outlineLvl w:val="9"/>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1.提高项目管理规范性和严谨性。做实项目实施方案，详尽说明预算执行情况及项目过程管理情况，并注意资料归集完整性，建议建立项目管理、资金管理办法和要求，完善项目管理模式、明确监管机制</w:t>
            </w:r>
            <w:r>
              <w:rPr>
                <w:rFonts w:hint="default" w:ascii="Times New Roman Regular" w:hAnsi="Times New Roman Regular" w:eastAsia="宋体" w:cs="Times New Roman Regular"/>
                <w:color w:val="000000"/>
                <w:kern w:val="0"/>
                <w:sz w:val="24"/>
                <w:szCs w:val="24"/>
                <w:lang w:eastAsia="zh-Hans"/>
              </w:rPr>
              <w:t>。</w:t>
            </w:r>
          </w:p>
          <w:p>
            <w:pPr>
              <w:keepNext w:val="0"/>
              <w:keepLines w:val="0"/>
              <w:pageBreakBefore w:val="0"/>
              <w:widowControl w:val="0"/>
              <w:kinsoku/>
              <w:wordWrap/>
              <w:overflowPunct/>
              <w:topLinePunct w:val="0"/>
              <w:autoSpaceDE/>
              <w:autoSpaceDN/>
              <w:bidi w:val="0"/>
              <w:adjustRightInd w:val="0"/>
              <w:snapToGrid/>
              <w:spacing w:line="360" w:lineRule="auto"/>
              <w:ind w:left="0" w:leftChars="0" w:right="0" w:rightChars="0" w:firstLine="480" w:firstLineChars="200"/>
              <w:jc w:val="both"/>
              <w:textAlignment w:val="auto"/>
              <w:outlineLvl w:val="9"/>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rPr>
              <w:t>2.进一步规范政府采购与政府购买服务有关法律、法规和文件的要求，加强对体检服务的需求调研，进一步探讨决策资金共担的合理性，规范政府采购管理，加强单位层面对政府采购决策管理，加强成本管控，加强采购归口管理，避免所有环节集中在业务部门可能形成的不够专业</w:t>
            </w:r>
            <w:r>
              <w:rPr>
                <w:rFonts w:hint="default" w:ascii="Times New Roman Regular" w:hAnsi="Times New Roman Regular" w:eastAsia="宋体" w:cs="Times New Roman Regular"/>
                <w:color w:val="000000"/>
                <w:kern w:val="0"/>
                <w:sz w:val="24"/>
                <w:szCs w:val="24"/>
                <w:lang w:eastAsia="zh-Hans"/>
              </w:rPr>
              <w:t>、</w:t>
            </w:r>
            <w:r>
              <w:rPr>
                <w:rFonts w:hint="default" w:ascii="Times New Roman Regular" w:hAnsi="Times New Roman Regular" w:eastAsia="宋体" w:cs="Times New Roman Regular"/>
                <w:color w:val="000000"/>
                <w:kern w:val="0"/>
                <w:sz w:val="24"/>
                <w:szCs w:val="24"/>
              </w:rPr>
              <w:t>不够规范等管理风险。加强体检中心的遴选过程资料存档，与体检中心签订的合同内容要明确，责任义务要界定清楚，以便更好的履行合同内容。</w:t>
            </w:r>
          </w:p>
          <w:p>
            <w:pPr>
              <w:pStyle w:val="23"/>
              <w:keepNext w:val="0"/>
              <w:keepLines w:val="0"/>
              <w:pageBreakBefore w:val="0"/>
              <w:widowControl w:val="0"/>
              <w:kinsoku/>
              <w:wordWrap/>
              <w:overflowPunct/>
              <w:topLinePunct w:val="0"/>
              <w:autoSpaceDE/>
              <w:autoSpaceDN w:val="0"/>
              <w:bidi w:val="0"/>
              <w:adjustRightInd/>
              <w:snapToGrid/>
              <w:spacing w:line="360" w:lineRule="auto"/>
              <w:ind w:left="0" w:leftChars="0" w:right="0" w:rightChars="0" w:firstLine="480" w:firstLineChars="200"/>
              <w:jc w:val="left"/>
              <w:textAlignment w:val="auto"/>
              <w:outlineLvl w:val="9"/>
              <w:rPr>
                <w:rFonts w:hint="default" w:ascii="Times New Roman Regular" w:hAnsi="Times New Roman Regular" w:eastAsia="宋体" w:cs="Times New Roman Regular"/>
                <w:color w:val="000000"/>
                <w:kern w:val="0"/>
                <w:sz w:val="24"/>
                <w:szCs w:val="24"/>
                <w:lang w:eastAsia="zh-CN"/>
              </w:rPr>
            </w:pPr>
            <w:r>
              <w:rPr>
                <w:rFonts w:hint="default" w:ascii="Times New Roman Regular" w:hAnsi="Times New Roman Regular" w:eastAsia="宋体" w:cs="Times New Roman Regular"/>
                <w:color w:val="000000"/>
                <w:kern w:val="0"/>
                <w:sz w:val="24"/>
                <w:szCs w:val="24"/>
                <w:lang w:eastAsia="zh-CN"/>
              </w:rPr>
              <w:t>3.落实主体</w:t>
            </w:r>
            <w:r>
              <w:rPr>
                <w:rFonts w:hint="default" w:ascii="Times New Roman Regular" w:hAnsi="Times New Roman Regular" w:eastAsia="宋体" w:cs="Times New Roman Regular"/>
                <w:color w:val="000000"/>
                <w:kern w:val="0"/>
                <w:sz w:val="24"/>
                <w:szCs w:val="24"/>
                <w:lang w:eastAsia="zh-Hans"/>
              </w:rPr>
              <w:t>责任</w:t>
            </w:r>
            <w:r>
              <w:rPr>
                <w:rFonts w:hint="default" w:ascii="Times New Roman Regular" w:hAnsi="Times New Roman Regular" w:eastAsia="宋体" w:cs="Times New Roman Regular"/>
                <w:color w:val="000000"/>
                <w:kern w:val="0"/>
                <w:sz w:val="24"/>
                <w:szCs w:val="24"/>
                <w:lang w:eastAsia="zh-CN"/>
              </w:rPr>
              <w:t>，提高绩效管理工作质量，建议结合 《北京市工会困难职工帮扶工作实施办法》《北京市工会帮扶资金使用管理办法》要求，明确政策年度目标、说明年度补助标准及比例情况，产出效果指标，提高时效性和可评价性</w:t>
            </w:r>
            <w:r>
              <w:rPr>
                <w:rFonts w:hint="default" w:ascii="Times New Roman Regular" w:hAnsi="Times New Roman Regular" w:eastAsia="宋体" w:cs="Times New Roman Regular"/>
                <w:color w:val="000000"/>
                <w:kern w:val="0"/>
                <w:sz w:val="24"/>
                <w:szCs w:val="24"/>
                <w:lang w:eastAsia="zh-Hans"/>
              </w:rPr>
              <w:t>。</w:t>
            </w:r>
          </w:p>
          <w:p>
            <w:pPr>
              <w:pStyle w:val="23"/>
              <w:keepNext w:val="0"/>
              <w:keepLines w:val="0"/>
              <w:pageBreakBefore w:val="0"/>
              <w:widowControl w:val="0"/>
              <w:kinsoku/>
              <w:wordWrap/>
              <w:overflowPunct/>
              <w:topLinePunct w:val="0"/>
              <w:autoSpaceDE/>
              <w:autoSpaceDN w:val="0"/>
              <w:bidi w:val="0"/>
              <w:adjustRightInd/>
              <w:snapToGrid/>
              <w:spacing w:line="264" w:lineRule="auto"/>
              <w:ind w:left="0" w:leftChars="0" w:right="0" w:rightChars="0" w:firstLine="480" w:firstLineChars="200"/>
              <w:jc w:val="left"/>
              <w:textAlignment w:val="auto"/>
              <w:outlineLvl w:val="9"/>
              <w:rPr>
                <w:rFonts w:hint="eastAsia" w:ascii="宋体" w:hAnsi="宋体" w:eastAsia="宋体" w:cs="宋体"/>
                <w:b/>
                <w:lang w:eastAsia="zh-CN"/>
              </w:rPr>
            </w:pPr>
            <w:r>
              <w:rPr>
                <w:rFonts w:hint="eastAsia" w:ascii="宋体" w:hAnsi="宋体" w:eastAsia="宋体" w:cs="宋体"/>
                <w:b/>
                <w:lang w:eastAsia="zh-CN"/>
              </w:rPr>
              <w:t>三、绩效方面：</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Regular" w:hAnsi="Times New Roman Regular" w:eastAsia="宋体" w:cs="Times New Roman Regular"/>
                <w:color w:val="000000"/>
                <w:kern w:val="0"/>
                <w:sz w:val="24"/>
                <w:szCs w:val="24"/>
              </w:rPr>
            </w:pPr>
            <w:r>
              <w:rPr>
                <w:rFonts w:hint="default" w:ascii="Times New Roman Regular" w:hAnsi="Times New Roman Regular" w:eastAsia="宋体" w:cs="Times New Roman Regular"/>
                <w:color w:val="000000"/>
                <w:kern w:val="0"/>
                <w:sz w:val="24"/>
                <w:szCs w:val="24"/>
              </w:rPr>
              <w:t>1.树立绩效管理意识，及时归集各种绩效资料</w:t>
            </w:r>
            <w:r>
              <w:rPr>
                <w:rFonts w:hint="default" w:ascii="Times New Roman Regular" w:hAnsi="Times New Roman Regular" w:eastAsia="宋体" w:cs="Times New Roman Regular"/>
                <w:color w:val="000000"/>
                <w:kern w:val="0"/>
                <w:sz w:val="24"/>
                <w:szCs w:val="24"/>
                <w:lang w:eastAsia="zh-Hans"/>
              </w:rPr>
              <w:t>，</w:t>
            </w:r>
            <w:r>
              <w:rPr>
                <w:rFonts w:hint="default" w:ascii="Times New Roman Regular" w:hAnsi="Times New Roman Regular" w:eastAsia="宋体" w:cs="Times New Roman Regular"/>
                <w:color w:val="000000"/>
                <w:kern w:val="0"/>
                <w:sz w:val="24"/>
                <w:szCs w:val="24"/>
              </w:rPr>
              <w:t>注重绩效资料梳理和数据统计分析，充分展示项目实施效果。</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Regular" w:hAnsi="Times New Roman Regular" w:eastAsia="宋体" w:cs="Times New Roman Regular"/>
                <w:sz w:val="24"/>
                <w:szCs w:val="24"/>
                <w:lang w:eastAsia="zh-Hans"/>
              </w:rPr>
            </w:pPr>
            <w:r>
              <w:rPr>
                <w:rFonts w:hint="default" w:ascii="Times New Roman Regular" w:hAnsi="Times New Roman Regular" w:eastAsia="宋体" w:cs="Times New Roman Regular"/>
                <w:color w:val="000000"/>
                <w:kern w:val="0"/>
                <w:sz w:val="24"/>
                <w:szCs w:val="24"/>
              </w:rPr>
              <w:t>2.重视项目绩效呈现</w:t>
            </w:r>
            <w:r>
              <w:rPr>
                <w:rFonts w:hint="default" w:ascii="Times New Roman Regular" w:hAnsi="Times New Roman Regular" w:eastAsia="宋体" w:cs="Times New Roman Regular"/>
                <w:color w:val="000000"/>
                <w:kern w:val="0"/>
                <w:sz w:val="24"/>
                <w:szCs w:val="24"/>
                <w:lang w:eastAsia="zh-Hans"/>
              </w:rPr>
              <w:t>。对于该专项工作涉及多个分项工作来具体开展，对于各分项工作须均开展满意度调查。科学设定调查问卷，明确服务对象，及时进行满意度调查，并</w:t>
            </w:r>
            <w:r>
              <w:rPr>
                <w:rFonts w:hint="default" w:ascii="Times New Roman Regular" w:hAnsi="Times New Roman Regular" w:eastAsia="宋体" w:cs="Times New Roman Regular"/>
                <w:color w:val="000000"/>
                <w:kern w:val="0"/>
                <w:sz w:val="24"/>
                <w:szCs w:val="24"/>
              </w:rPr>
              <w:t>形成调查分析报告，作为项目优化管理和持续决策的参考。</w:t>
            </w:r>
          </w:p>
          <w:p>
            <w:pPr>
              <w:pStyle w:val="23"/>
              <w:autoSpaceDN w:val="0"/>
              <w:spacing w:line="360" w:lineRule="auto"/>
              <w:ind w:firstLine="480" w:firstLineChars="200"/>
              <w:jc w:val="left"/>
              <w:rPr>
                <w:rFonts w:hint="default" w:ascii="Times New Roman Regular" w:hAnsi="Times New Roman Regular" w:eastAsia="宋体" w:cs="Times New Roman Regular"/>
                <w:bCs/>
                <w:sz w:val="24"/>
                <w:szCs w:val="24"/>
                <w:lang w:eastAsia="zh-CN"/>
              </w:rPr>
            </w:pPr>
          </w:p>
          <w:p>
            <w:pPr>
              <w:pStyle w:val="23"/>
              <w:autoSpaceDN w:val="0"/>
              <w:spacing w:line="360" w:lineRule="auto"/>
              <w:ind w:firstLine="480" w:firstLineChars="200"/>
              <w:jc w:val="left"/>
              <w:rPr>
                <w:rFonts w:hint="eastAsia" w:ascii="宋体" w:hAnsi="宋体" w:eastAsia="宋体" w:cs="宋体"/>
                <w:bCs/>
                <w:lang w:eastAsia="zh-CN"/>
              </w:rPr>
            </w:pPr>
          </w:p>
          <w:p>
            <w:pPr>
              <w:pStyle w:val="23"/>
              <w:autoSpaceDN w:val="0"/>
              <w:spacing w:line="360" w:lineRule="auto"/>
              <w:ind w:firstLine="480" w:firstLineChars="200"/>
              <w:jc w:val="left"/>
              <w:rPr>
                <w:rFonts w:hint="eastAsia" w:ascii="宋体" w:hAnsi="宋体" w:eastAsia="宋体" w:cs="宋体"/>
                <w:bCs/>
                <w:lang w:eastAsia="zh-CN"/>
              </w:rPr>
            </w:pPr>
          </w:p>
          <w:p>
            <w:pPr>
              <w:pStyle w:val="23"/>
              <w:autoSpaceDN w:val="0"/>
              <w:spacing w:line="360" w:lineRule="auto"/>
              <w:ind w:firstLine="480" w:firstLineChars="200"/>
              <w:jc w:val="left"/>
              <w:rPr>
                <w:rFonts w:hint="eastAsia" w:ascii="宋体" w:hAnsi="宋体" w:eastAsia="宋体" w:cs="宋体"/>
                <w:bCs/>
                <w:lang w:eastAsia="zh-CN"/>
              </w:rPr>
            </w:pPr>
          </w:p>
          <w:p>
            <w:pPr>
              <w:pStyle w:val="23"/>
              <w:autoSpaceDN w:val="0"/>
              <w:jc w:val="both"/>
              <w:rPr>
                <w:rFonts w:hint="eastAsia" w:ascii="宋体" w:hAnsi="宋体" w:eastAsia="宋体" w:cs="宋体"/>
                <w:bCs/>
                <w:lang w:eastAsia="zh-CN"/>
              </w:rPr>
            </w:pPr>
          </w:p>
          <w:p>
            <w:pPr>
              <w:rPr>
                <w:rFonts w:hint="eastAsia" w:ascii="宋体" w:hAnsi="宋体" w:eastAsia="宋体" w:cs="宋体"/>
                <w:b/>
                <w:sz w:val="24"/>
              </w:rPr>
            </w:pPr>
            <w:r>
              <w:rPr>
                <w:rFonts w:ascii="宋体" w:hAnsi="宋体"/>
                <w:b/>
                <w:bCs/>
                <w:spacing w:val="50"/>
                <w:sz w:val="36"/>
                <w:szCs w:val="36"/>
              </w:rPr>
              <w:drawing>
                <wp:anchor distT="0" distB="0" distL="0" distR="0" simplePos="0" relativeHeight="251659264" behindDoc="0" locked="0" layoutInCell="1" allowOverlap="1">
                  <wp:simplePos x="0" y="0"/>
                  <wp:positionH relativeFrom="column">
                    <wp:posOffset>3980815</wp:posOffset>
                  </wp:positionH>
                  <wp:positionV relativeFrom="paragraph">
                    <wp:posOffset>125095</wp:posOffset>
                  </wp:positionV>
                  <wp:extent cx="685800" cy="358775"/>
                  <wp:effectExtent l="0" t="0" r="0" b="2222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85800" cy="358775"/>
                          </a:xfrm>
                          <a:prstGeom prst="rect">
                            <a:avLst/>
                          </a:prstGeom>
                          <a:noFill/>
                        </pic:spPr>
                      </pic:pic>
                    </a:graphicData>
                  </a:graphic>
                </wp:anchor>
              </w:drawing>
            </w:r>
          </w:p>
          <w:p>
            <w:pPr>
              <w:autoSpaceDN w:val="0"/>
              <w:jc w:val="left"/>
              <w:rPr>
                <w:rFonts w:hint="eastAsia" w:ascii="宋体" w:hAnsi="宋体" w:eastAsia="宋体" w:cs="宋体"/>
                <w:sz w:val="24"/>
              </w:rPr>
            </w:pPr>
            <w:r>
              <w:rPr>
                <w:rFonts w:hint="eastAsia" w:ascii="宋体" w:hAnsi="宋体" w:eastAsia="宋体" w:cs="宋体"/>
                <w:b/>
                <w:sz w:val="24"/>
              </w:rPr>
              <w:t xml:space="preserve">                                         </w:t>
            </w:r>
            <w:r>
              <w:rPr>
                <w:rFonts w:hint="eastAsia" w:ascii="宋体" w:hAnsi="宋体" w:eastAsia="宋体" w:cs="宋体"/>
                <w:sz w:val="24"/>
              </w:rPr>
              <w:t>专家组组长：</w:t>
            </w:r>
            <w:r>
              <w:rPr>
                <w:rFonts w:ascii="宋体" w:hAnsi="宋体"/>
                <w:b/>
                <w:bCs/>
                <w:spacing w:val="50"/>
                <w:sz w:val="36"/>
                <w:szCs w:val="36"/>
              </w:rPr>
              <w:drawing>
                <wp:anchor distT="0" distB="0" distL="114300" distR="114300" simplePos="0" relativeHeight="251658240" behindDoc="0" locked="0" layoutInCell="1" allowOverlap="1">
                  <wp:simplePos x="0" y="0"/>
                  <wp:positionH relativeFrom="column">
                    <wp:posOffset>5015865</wp:posOffset>
                  </wp:positionH>
                  <wp:positionV relativeFrom="paragraph">
                    <wp:posOffset>8512810</wp:posOffset>
                  </wp:positionV>
                  <wp:extent cx="734060" cy="384175"/>
                  <wp:effectExtent l="0" t="0" r="2540" b="22225"/>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4"/>
                          <a:stretch>
                            <a:fillRect/>
                          </a:stretch>
                        </pic:blipFill>
                        <pic:spPr>
                          <a:xfrm>
                            <a:off x="0" y="0"/>
                            <a:ext cx="734060" cy="384175"/>
                          </a:xfrm>
                          <a:prstGeom prst="rect">
                            <a:avLst/>
                          </a:prstGeom>
                          <a:noFill/>
                          <a:ln w="9525">
                            <a:noFill/>
                          </a:ln>
                        </pic:spPr>
                      </pic:pic>
                    </a:graphicData>
                  </a:graphic>
                </wp:anchor>
              </w:drawing>
            </w:r>
          </w:p>
          <w:p>
            <w:pPr>
              <w:autoSpaceDN w:val="0"/>
              <w:rPr>
                <w:rFonts w:hint="eastAsia" w:ascii="宋体" w:hAnsi="宋体" w:eastAsia="宋体" w:cs="宋体"/>
                <w:sz w:val="24"/>
              </w:rPr>
            </w:pPr>
          </w:p>
          <w:p>
            <w:pPr>
              <w:autoSpaceDN w:val="0"/>
              <w:rPr>
                <w:rFonts w:hint="eastAsia" w:ascii="宋体" w:hAnsi="宋体" w:eastAsia="宋体" w:cs="宋体"/>
                <w:sz w:val="24"/>
              </w:rPr>
            </w:pPr>
          </w:p>
          <w:p>
            <w:pPr>
              <w:rPr>
                <w:rFonts w:hint="eastAsia" w:ascii="宋体" w:hAnsi="宋体" w:eastAsia="宋体" w:cs="宋体"/>
                <w:b/>
                <w:sz w:val="24"/>
              </w:rPr>
            </w:pPr>
            <w:r>
              <w:rPr>
                <w:rFonts w:hint="eastAsia" w:ascii="宋体" w:hAnsi="宋体" w:eastAsia="宋体" w:cs="宋体"/>
                <w:sz w:val="24"/>
              </w:rPr>
              <w:t xml:space="preserve">                                                20</w:t>
            </w:r>
            <w:r>
              <w:rPr>
                <w:rFonts w:hint="eastAsia" w:ascii="宋体" w:hAnsi="宋体" w:eastAsia="宋体" w:cs="宋体"/>
                <w:sz w:val="24"/>
                <w:lang w:val="en-US" w:eastAsia="zh-CN"/>
              </w:rPr>
              <w:t>2</w:t>
            </w:r>
            <w:r>
              <w:rPr>
                <w:rFonts w:hint="default" w:ascii="宋体" w:hAnsi="宋体" w:cs="宋体"/>
                <w:sz w:val="24"/>
                <w:lang w:eastAsia="zh-CN"/>
              </w:rPr>
              <w:t>2</w:t>
            </w:r>
            <w:r>
              <w:rPr>
                <w:rFonts w:hint="eastAsia" w:ascii="宋体" w:hAnsi="宋体" w:eastAsia="宋体" w:cs="宋体"/>
                <w:sz w:val="24"/>
              </w:rPr>
              <w:t xml:space="preserve">年 </w:t>
            </w:r>
            <w:r>
              <w:rPr>
                <w:rFonts w:hint="default" w:ascii="宋体" w:hAnsi="宋体" w:cs="宋体"/>
                <w:sz w:val="24"/>
                <w:lang w:eastAsia="zh-CN"/>
              </w:rPr>
              <w:t>5</w:t>
            </w:r>
            <w:r>
              <w:rPr>
                <w:rFonts w:hint="eastAsia" w:ascii="宋体" w:hAnsi="宋体" w:eastAsia="宋体" w:cs="宋体"/>
                <w:sz w:val="24"/>
              </w:rPr>
              <w:t xml:space="preserve"> 月 </w:t>
            </w:r>
            <w:r>
              <w:rPr>
                <w:rFonts w:hint="eastAsia" w:ascii="宋体" w:hAnsi="宋体" w:eastAsia="宋体" w:cs="宋体"/>
                <w:sz w:val="24"/>
                <w:lang w:val="en-US" w:eastAsia="zh-CN"/>
              </w:rPr>
              <w:t>1</w:t>
            </w:r>
            <w:r>
              <w:rPr>
                <w:rFonts w:hint="default" w:ascii="宋体" w:hAnsi="宋体" w:cs="宋体"/>
                <w:sz w:val="24"/>
                <w:lang w:eastAsia="zh-CN"/>
              </w:rPr>
              <w:t>2</w:t>
            </w:r>
            <w:r>
              <w:rPr>
                <w:rFonts w:hint="eastAsia" w:ascii="宋体" w:hAnsi="宋体" w:eastAsia="宋体" w:cs="宋体"/>
                <w:sz w:val="24"/>
              </w:rPr>
              <w:t xml:space="preserve"> 日</w:t>
            </w:r>
            <w:r>
              <w:rPr>
                <w:rFonts w:hint="eastAsia" w:ascii="宋体" w:hAnsi="宋体" w:eastAsia="宋体" w:cs="宋体"/>
                <w:b/>
                <w:sz w:val="24"/>
              </w:rPr>
              <w:t xml:space="preserve"> </w:t>
            </w:r>
          </w:p>
          <w:p>
            <w:pPr>
              <w:rPr>
                <w:rFonts w:hint="eastAsia" w:ascii="宋体" w:hAnsi="宋体" w:eastAsia="宋体" w:cs="宋体"/>
                <w:b/>
                <w:sz w:val="24"/>
              </w:rPr>
            </w:pPr>
            <w:r>
              <w:rPr>
                <w:rFonts w:hint="eastAsia" w:ascii="宋体" w:hAnsi="宋体" w:eastAsia="宋体" w:cs="宋体"/>
                <w:b/>
                <w:sz w:val="24"/>
              </w:rPr>
              <w:t xml:space="preserve"> </w:t>
            </w:r>
          </w:p>
        </w:tc>
      </w:tr>
    </w:tbl>
    <w:p>
      <w:pPr>
        <w:rPr>
          <w:rFonts w:hint="eastAsia"/>
          <w:b/>
          <w:sz w:val="28"/>
          <w:szCs w:val="28"/>
        </w:rPr>
      </w:pPr>
      <w:r>
        <w:rPr>
          <w:b/>
          <w:sz w:val="28"/>
          <w:szCs w:val="28"/>
        </w:rPr>
        <w:br w:type="page"/>
      </w:r>
      <w:r>
        <w:rPr>
          <w:rFonts w:hint="eastAsia"/>
          <w:b/>
          <w:sz w:val="28"/>
          <w:szCs w:val="28"/>
        </w:rPr>
        <w:t>三、专家组基本情况</w:t>
      </w:r>
    </w:p>
    <w:tbl>
      <w:tblPr>
        <w:tblStyle w:val="19"/>
        <w:tblW w:w="0" w:type="auto"/>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3516"/>
        <w:gridCol w:w="1476"/>
        <w:gridCol w:w="1464"/>
        <w:gridCol w:w="1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21" w:hRule="atLeast"/>
          <w:tblHeader/>
        </w:trPr>
        <w:tc>
          <w:tcPr>
            <w:tcW w:w="1093"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 xml:space="preserve"> 姓  名</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工作单位</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职  称</w:t>
            </w:r>
          </w:p>
        </w:tc>
        <w:tc>
          <w:tcPr>
            <w:tcW w:w="1464"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专  业</w:t>
            </w:r>
          </w:p>
        </w:tc>
        <w:tc>
          <w:tcPr>
            <w:tcW w:w="1308"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4" w:hRule="atLeast"/>
          <w:tblHeader/>
        </w:trPr>
        <w:tc>
          <w:tcPr>
            <w:tcW w:w="1093" w:type="dxa"/>
            <w:noWrap w:val="0"/>
            <w:vAlign w:val="center"/>
          </w:tcPr>
          <w:p>
            <w:pPr>
              <w:pStyle w:val="23"/>
              <w:snapToGrid w:val="0"/>
              <w:rPr>
                <w:rFonts w:hint="default" w:ascii="宋体" w:hAnsi="宋体" w:eastAsia="宋体"/>
                <w:lang w:val="en-US" w:eastAsia="zh-CN"/>
              </w:rPr>
            </w:pPr>
            <w:r>
              <w:rPr>
                <w:rFonts w:hint="default" w:ascii="宋体" w:hAnsi="宋体" w:eastAsia="宋体"/>
                <w:lang w:val="en-US" w:eastAsia="zh-CN"/>
              </w:rPr>
              <w:t>姜竹</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北京工商大学</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教授</w:t>
            </w:r>
          </w:p>
        </w:tc>
        <w:tc>
          <w:tcPr>
            <w:tcW w:w="1464"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经济学</w:t>
            </w:r>
          </w:p>
        </w:tc>
        <w:tc>
          <w:tcPr>
            <w:tcW w:w="1308"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专家组长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6" w:hRule="exact"/>
          <w:tblHeader/>
        </w:trPr>
        <w:tc>
          <w:tcPr>
            <w:tcW w:w="1093"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闻冰华</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中诚智业（北京）咨询有限公司</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高级会计师</w:t>
            </w:r>
          </w:p>
        </w:tc>
        <w:tc>
          <w:tcPr>
            <w:tcW w:w="1464"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产业经济学</w:t>
            </w:r>
          </w:p>
        </w:tc>
        <w:tc>
          <w:tcPr>
            <w:tcW w:w="1308"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管理专家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8" w:hRule="exact"/>
          <w:tblHeader/>
        </w:trPr>
        <w:tc>
          <w:tcPr>
            <w:tcW w:w="1093" w:type="dxa"/>
            <w:noWrap w:val="0"/>
            <w:vAlign w:val="center"/>
          </w:tcPr>
          <w:p>
            <w:pPr>
              <w:pStyle w:val="23"/>
              <w:snapToGrid w:val="0"/>
              <w:rPr>
                <w:rFonts w:hint="default" w:ascii="宋体" w:hAnsi="宋体" w:eastAsia="宋体"/>
                <w:lang w:val="en-US" w:eastAsia="zh-CN"/>
              </w:rPr>
            </w:pPr>
            <w:r>
              <w:rPr>
                <w:rFonts w:hint="default" w:ascii="宋体" w:hAnsi="宋体" w:eastAsia="宋体"/>
                <w:lang w:val="en-US" w:eastAsia="zh-CN"/>
              </w:rPr>
              <w:t>毕娟</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 xml:space="preserve"> 北京市社会科学院</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副研究员</w:t>
            </w:r>
          </w:p>
        </w:tc>
        <w:tc>
          <w:tcPr>
            <w:tcW w:w="1464"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管理学</w:t>
            </w:r>
          </w:p>
        </w:tc>
        <w:tc>
          <w:tcPr>
            <w:tcW w:w="1308" w:type="dxa"/>
            <w:noWrap w:val="0"/>
            <w:vAlign w:val="center"/>
          </w:tcPr>
          <w:p>
            <w:pPr>
              <w:pStyle w:val="23"/>
              <w:snapToGrid w:val="0"/>
              <w:rPr>
                <w:rFonts w:hint="default" w:ascii="宋体" w:hAnsi="宋体" w:eastAsia="宋体"/>
                <w:lang w:val="en-US" w:eastAsia="zh-CN"/>
              </w:rPr>
            </w:pPr>
            <w:r>
              <w:rPr>
                <w:rFonts w:hint="default" w:ascii="宋体" w:hAnsi="宋体" w:eastAsia="宋体"/>
                <w:lang w:val="en-US" w:eastAsia="zh-CN"/>
              </w:rPr>
              <w:t xml:space="preserve">业务专家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8" w:hRule="exact"/>
          <w:tblHeader/>
        </w:trPr>
        <w:tc>
          <w:tcPr>
            <w:tcW w:w="1093"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刘玲玲</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北京城市学院</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副教授</w:t>
            </w:r>
          </w:p>
        </w:tc>
        <w:tc>
          <w:tcPr>
            <w:tcW w:w="1464"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管理科学与工程</w:t>
            </w:r>
          </w:p>
        </w:tc>
        <w:tc>
          <w:tcPr>
            <w:tcW w:w="1308"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业务专家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exact"/>
          <w:tblHeader/>
        </w:trPr>
        <w:tc>
          <w:tcPr>
            <w:tcW w:w="1093"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宋玉芬</w:t>
            </w:r>
          </w:p>
        </w:tc>
        <w:tc>
          <w:tcPr>
            <w:tcW w:w="351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北京市农业技术推广站</w:t>
            </w:r>
          </w:p>
        </w:tc>
        <w:tc>
          <w:tcPr>
            <w:tcW w:w="1476" w:type="dxa"/>
            <w:noWrap w:val="0"/>
            <w:vAlign w:val="center"/>
          </w:tcPr>
          <w:p>
            <w:pPr>
              <w:pStyle w:val="23"/>
              <w:snapToGrid w:val="0"/>
              <w:rPr>
                <w:rFonts w:hint="eastAsia" w:ascii="宋体" w:hAnsi="宋体" w:eastAsia="宋体"/>
                <w:lang w:eastAsia="zh-CN"/>
              </w:rPr>
            </w:pPr>
            <w:r>
              <w:rPr>
                <w:rFonts w:hint="eastAsia" w:ascii="宋体" w:hAnsi="宋体" w:eastAsia="宋体"/>
                <w:lang w:eastAsia="zh-CN"/>
              </w:rPr>
              <w:t>高级会计师</w:t>
            </w:r>
          </w:p>
        </w:tc>
        <w:tc>
          <w:tcPr>
            <w:tcW w:w="1464"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会计学</w:t>
            </w:r>
          </w:p>
        </w:tc>
        <w:tc>
          <w:tcPr>
            <w:tcW w:w="1308" w:type="dxa"/>
            <w:noWrap w:val="0"/>
            <w:vAlign w:val="center"/>
          </w:tcPr>
          <w:p>
            <w:pPr>
              <w:pStyle w:val="23"/>
              <w:snapToGrid w:val="0"/>
              <w:rPr>
                <w:rFonts w:hint="default" w:ascii="宋体" w:hAnsi="宋体" w:eastAsia="宋体"/>
                <w:lang w:val="en-US" w:eastAsia="zh-CN"/>
              </w:rPr>
            </w:pPr>
            <w:r>
              <w:rPr>
                <w:rFonts w:hint="eastAsia" w:ascii="宋体" w:hAnsi="宋体" w:eastAsia="宋体"/>
                <w:lang w:val="en-US" w:eastAsia="zh-CN"/>
              </w:rPr>
              <w:t>财务专家</w:t>
            </w:r>
          </w:p>
        </w:tc>
      </w:tr>
    </w:tbl>
    <w:p/>
    <w:p>
      <w:pPr>
        <w:pStyle w:val="27"/>
        <w:ind w:left="0" w:leftChars="0" w:firstLine="0" w:firstLineChars="0"/>
        <w:rPr>
          <w:rFonts w:ascii="宋体" w:hAnsi="宋体" w:cs="宋体"/>
          <w:sz w:val="20"/>
          <w:szCs w:val="20"/>
        </w:rPr>
        <w:sectPr>
          <w:pgSz w:w="11907" w:h="16840"/>
          <w:pgMar w:top="1440" w:right="1797" w:bottom="1440" w:left="1797" w:header="851" w:footer="992" w:gutter="0"/>
          <w:cols w:space="720" w:num="1"/>
          <w:docGrid w:type="lines" w:linePitch="312" w:charSpace="0"/>
        </w:sectPr>
      </w:pPr>
    </w:p>
    <w:p>
      <w:pPr>
        <w:rPr>
          <w:rFonts w:ascii="黑体" w:hAnsi="黑体" w:eastAsia="黑体" w:cs="黑体"/>
          <w:b/>
          <w:bCs/>
          <w:sz w:val="31"/>
          <w:szCs w:val="31"/>
          <w:highlight w:val="none"/>
        </w:rPr>
      </w:pPr>
      <w:r>
        <w:rPr>
          <w:rFonts w:hint="eastAsia" w:ascii="黑体" w:hAnsi="黑体" w:eastAsia="黑体" w:cs="黑体"/>
          <w:sz w:val="32"/>
          <w:szCs w:val="32"/>
          <w:highlight w:val="none"/>
        </w:rPr>
        <w:t>附件4</w:t>
      </w:r>
    </w:p>
    <w:p>
      <w:pPr>
        <w:pStyle w:val="3"/>
        <w:ind w:left="1716"/>
      </w:pPr>
      <w:r>
        <w:rPr>
          <w:rFonts w:hint="eastAsia" w:ascii="宋体" w:hAnsi="宋体" w:eastAsia="宋体" w:cs="宋体"/>
          <w:b/>
          <w:bCs/>
        </w:rPr>
        <w:t>北京市市级财政支出绩效评价指标体系及打分情况表</w:t>
      </w:r>
    </w:p>
    <w:p>
      <w:pPr>
        <w:spacing w:before="133"/>
        <w:ind w:left="180"/>
        <w:rPr>
          <w:rFonts w:asciiTheme="minorEastAsia" w:hAnsiTheme="minorEastAsia" w:cstheme="minorEastAsia"/>
        </w:rPr>
      </w:pPr>
      <w:r>
        <w:rPr>
          <w:rFonts w:ascii="宋体" w:hAnsi="宋体" w:cs="宋体"/>
          <w:b/>
          <w:bCs/>
          <w:szCs w:val="21"/>
        </w:rPr>
        <w:t>被评价单位：</w:t>
      </w:r>
      <w:r>
        <w:rPr>
          <w:rFonts w:hint="eastAsia" w:ascii="宋体" w:hAnsi="宋体" w:cs="宋体"/>
          <w:b/>
          <w:bCs/>
          <w:szCs w:val="21"/>
        </w:rPr>
        <w:t>北京市总工会劳模工作部</w:t>
      </w:r>
    </w:p>
    <w:tbl>
      <w:tblPr>
        <w:tblStyle w:val="19"/>
        <w:tblW w:w="4995" w:type="pct"/>
        <w:tblInd w:w="0" w:type="dxa"/>
        <w:tblLayout w:type="fixed"/>
        <w:tblCellMar>
          <w:top w:w="0" w:type="dxa"/>
          <w:left w:w="108" w:type="dxa"/>
          <w:bottom w:w="0" w:type="dxa"/>
          <w:right w:w="108" w:type="dxa"/>
        </w:tblCellMar>
      </w:tblPr>
      <w:tblGrid>
        <w:gridCol w:w="645"/>
        <w:gridCol w:w="681"/>
        <w:gridCol w:w="703"/>
        <w:gridCol w:w="1696"/>
        <w:gridCol w:w="1865"/>
        <w:gridCol w:w="1638"/>
        <w:gridCol w:w="2158"/>
        <w:gridCol w:w="678"/>
        <w:gridCol w:w="971"/>
      </w:tblGrid>
      <w:tr>
        <w:trPr>
          <w:trHeight w:val="958" w:hRule="atLeast"/>
          <w:tblHeader/>
        </w:trPr>
        <w:tc>
          <w:tcPr>
            <w:tcW w:w="292"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hint="eastAsia" w:ascii="宋体" w:hAnsi="宋体" w:cs="宋体"/>
                <w:b/>
                <w:bCs/>
                <w:sz w:val="20"/>
                <w:szCs w:val="20"/>
              </w:rPr>
              <w:t>一级</w:t>
            </w:r>
            <w:r>
              <w:rPr>
                <w:rFonts w:hint="eastAsia" w:ascii="宋体" w:hAnsi="宋体" w:cs="宋体"/>
                <w:b/>
                <w:bCs/>
                <w:sz w:val="20"/>
                <w:szCs w:val="20"/>
              </w:rPr>
              <w:br w:type="textWrapping"/>
            </w:r>
            <w:r>
              <w:rPr>
                <w:rFonts w:hint="eastAsia" w:ascii="宋体" w:hAnsi="宋体" w:cs="宋体"/>
                <w:b/>
                <w:bCs/>
                <w:sz w:val="20"/>
                <w:szCs w:val="20"/>
              </w:rPr>
              <w:t>指标</w:t>
            </w:r>
            <w:r>
              <w:rPr>
                <w:rFonts w:hint="eastAsia" w:ascii="宋体" w:hAnsi="宋体" w:cs="宋体"/>
                <w:b/>
                <w:bCs/>
                <w:sz w:val="20"/>
                <w:szCs w:val="20"/>
              </w:rPr>
              <w:br w:type="textWrapping"/>
            </w:r>
            <w:r>
              <w:rPr>
                <w:rFonts w:hint="eastAsia" w:ascii="宋体" w:hAnsi="宋体" w:cs="宋体"/>
                <w:b/>
                <w:bCs/>
                <w:sz w:val="20"/>
                <w:szCs w:val="20"/>
              </w:rPr>
              <w:t>及分</w:t>
            </w:r>
            <w:r>
              <w:rPr>
                <w:rFonts w:hint="eastAsia" w:ascii="宋体" w:hAnsi="宋体" w:cs="宋体"/>
                <w:b/>
                <w:bCs/>
                <w:sz w:val="20"/>
                <w:szCs w:val="20"/>
              </w:rPr>
              <w:br w:type="textWrapping"/>
            </w:r>
            <w:r>
              <w:rPr>
                <w:rFonts w:hint="eastAsia" w:ascii="宋体" w:hAnsi="宋体" w:cs="宋体"/>
                <w:b/>
                <w:bCs/>
                <w:sz w:val="20"/>
                <w:szCs w:val="20"/>
              </w:rPr>
              <w:t>值</w:t>
            </w:r>
          </w:p>
        </w:tc>
        <w:tc>
          <w:tcPr>
            <w:tcW w:w="308"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hint="eastAsia" w:ascii="宋体" w:hAnsi="宋体" w:cs="宋体"/>
                <w:b/>
                <w:bCs/>
                <w:sz w:val="20"/>
                <w:szCs w:val="20"/>
              </w:rPr>
              <w:t>二级</w:t>
            </w:r>
            <w:r>
              <w:rPr>
                <w:rFonts w:hint="eastAsia" w:ascii="宋体" w:hAnsi="宋体" w:cs="宋体"/>
                <w:b/>
                <w:bCs/>
                <w:sz w:val="20"/>
                <w:szCs w:val="20"/>
              </w:rPr>
              <w:br w:type="textWrapping"/>
            </w:r>
            <w:r>
              <w:rPr>
                <w:rFonts w:hint="eastAsia" w:ascii="宋体" w:hAnsi="宋体" w:cs="宋体"/>
                <w:b/>
                <w:bCs/>
                <w:sz w:val="20"/>
                <w:szCs w:val="20"/>
              </w:rPr>
              <w:t>指标</w:t>
            </w:r>
            <w:r>
              <w:rPr>
                <w:rFonts w:hint="eastAsia" w:ascii="宋体" w:hAnsi="宋体" w:cs="宋体"/>
                <w:b/>
                <w:bCs/>
                <w:sz w:val="20"/>
                <w:szCs w:val="20"/>
              </w:rPr>
              <w:br w:type="textWrapping"/>
            </w:r>
            <w:r>
              <w:rPr>
                <w:rFonts w:hint="eastAsia" w:ascii="宋体" w:hAnsi="宋体" w:cs="宋体"/>
                <w:b/>
                <w:bCs/>
                <w:sz w:val="20"/>
                <w:szCs w:val="20"/>
              </w:rPr>
              <w:t>及分</w:t>
            </w:r>
            <w:r>
              <w:rPr>
                <w:rFonts w:hint="eastAsia" w:ascii="宋体" w:hAnsi="宋体" w:cs="宋体"/>
                <w:b/>
                <w:bCs/>
                <w:sz w:val="20"/>
                <w:szCs w:val="20"/>
              </w:rPr>
              <w:br w:type="textWrapping"/>
            </w:r>
            <w:r>
              <w:rPr>
                <w:rFonts w:hint="eastAsia" w:ascii="宋体" w:hAnsi="宋体" w:cs="宋体"/>
                <w:b/>
                <w:bCs/>
                <w:sz w:val="20"/>
                <w:szCs w:val="20"/>
              </w:rPr>
              <w:t>值</w:t>
            </w:r>
          </w:p>
        </w:tc>
        <w:tc>
          <w:tcPr>
            <w:tcW w:w="318"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hint="eastAsia" w:ascii="宋体" w:hAnsi="宋体" w:cs="宋体"/>
                <w:b/>
                <w:bCs/>
                <w:sz w:val="20"/>
                <w:szCs w:val="20"/>
              </w:rPr>
              <w:t>三级</w:t>
            </w:r>
            <w:r>
              <w:rPr>
                <w:rFonts w:hint="eastAsia" w:ascii="宋体" w:hAnsi="宋体" w:cs="宋体"/>
                <w:b/>
                <w:bCs/>
                <w:sz w:val="20"/>
                <w:szCs w:val="20"/>
              </w:rPr>
              <w:br w:type="textWrapping"/>
            </w:r>
            <w:r>
              <w:rPr>
                <w:rFonts w:hint="eastAsia" w:ascii="宋体" w:hAnsi="宋体" w:cs="宋体"/>
                <w:b/>
                <w:bCs/>
                <w:sz w:val="20"/>
                <w:szCs w:val="20"/>
              </w:rPr>
              <w:t>指标</w:t>
            </w:r>
            <w:r>
              <w:rPr>
                <w:rFonts w:hint="eastAsia" w:ascii="宋体" w:hAnsi="宋体" w:cs="宋体"/>
                <w:b/>
                <w:bCs/>
                <w:sz w:val="20"/>
                <w:szCs w:val="20"/>
              </w:rPr>
              <w:br w:type="textWrapping"/>
            </w:r>
            <w:r>
              <w:rPr>
                <w:rFonts w:hint="eastAsia" w:ascii="宋体" w:hAnsi="宋体" w:cs="宋体"/>
                <w:b/>
                <w:bCs/>
                <w:sz w:val="20"/>
                <w:szCs w:val="20"/>
              </w:rPr>
              <w:t>及分</w:t>
            </w:r>
            <w:r>
              <w:rPr>
                <w:rFonts w:hint="eastAsia" w:ascii="宋体" w:hAnsi="宋体" w:cs="宋体"/>
                <w:b/>
                <w:bCs/>
                <w:sz w:val="20"/>
                <w:szCs w:val="20"/>
              </w:rPr>
              <w:br w:type="textWrapping"/>
            </w:r>
            <w:r>
              <w:rPr>
                <w:rFonts w:hint="eastAsia" w:ascii="宋体" w:hAnsi="宋体" w:cs="宋体"/>
                <w:b/>
                <w:bCs/>
                <w:sz w:val="20"/>
                <w:szCs w:val="20"/>
              </w:rPr>
              <w:t>值</w:t>
            </w:r>
          </w:p>
        </w:tc>
        <w:tc>
          <w:tcPr>
            <w:tcW w:w="768"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hint="eastAsia" w:ascii="宋体" w:hAnsi="宋体" w:cs="宋体"/>
                <w:b/>
                <w:bCs/>
                <w:sz w:val="20"/>
                <w:szCs w:val="20"/>
              </w:rPr>
              <w:t>四级指标及</w:t>
            </w:r>
            <w:r>
              <w:rPr>
                <w:rFonts w:hint="eastAsia" w:ascii="宋体" w:hAnsi="宋体" w:cs="宋体"/>
                <w:b/>
                <w:bCs/>
                <w:sz w:val="20"/>
                <w:szCs w:val="20"/>
              </w:rPr>
              <w:br w:type="textWrapping"/>
            </w:r>
            <w:r>
              <w:rPr>
                <w:rFonts w:hint="eastAsia" w:ascii="宋体" w:hAnsi="宋体" w:cs="宋体"/>
                <w:b/>
                <w:bCs/>
                <w:sz w:val="20"/>
                <w:szCs w:val="20"/>
              </w:rPr>
              <w:t>分值</w:t>
            </w:r>
          </w:p>
        </w:tc>
        <w:tc>
          <w:tcPr>
            <w:tcW w:w="845"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ascii="宋体" w:hAnsi="宋体" w:cs="宋体"/>
                <w:b/>
                <w:bCs/>
                <w:sz w:val="20"/>
                <w:szCs w:val="20"/>
              </w:rPr>
              <w:t>指标解释</w:t>
            </w:r>
          </w:p>
        </w:tc>
        <w:tc>
          <w:tcPr>
            <w:tcW w:w="742"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ascii="宋体" w:hAnsi="宋体" w:cs="宋体"/>
                <w:b/>
                <w:bCs/>
                <w:sz w:val="20"/>
                <w:szCs w:val="20"/>
              </w:rPr>
              <w:t>评价分值</w:t>
            </w:r>
          </w:p>
        </w:tc>
        <w:tc>
          <w:tcPr>
            <w:tcW w:w="978"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ascii="宋体" w:hAnsi="宋体" w:cs="宋体"/>
                <w:b/>
                <w:bCs/>
                <w:sz w:val="20"/>
                <w:szCs w:val="20"/>
              </w:rPr>
              <w:t>评价标准</w:t>
            </w:r>
          </w:p>
        </w:tc>
        <w:tc>
          <w:tcPr>
            <w:tcW w:w="307"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ascii="宋体" w:hAnsi="宋体" w:cs="宋体"/>
                <w:b/>
                <w:bCs/>
                <w:sz w:val="20"/>
                <w:szCs w:val="20"/>
              </w:rPr>
              <w:t>专家评分</w:t>
            </w:r>
          </w:p>
        </w:tc>
        <w:tc>
          <w:tcPr>
            <w:tcW w:w="440"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9"/>
              <w:jc w:val="center"/>
              <w:rPr>
                <w:rFonts w:ascii="宋体" w:hAnsi="宋体" w:cs="宋体"/>
                <w:b/>
                <w:bCs/>
                <w:sz w:val="20"/>
                <w:szCs w:val="20"/>
              </w:rPr>
            </w:pPr>
            <w:r>
              <w:rPr>
                <w:rFonts w:ascii="宋体" w:hAnsi="宋体" w:cs="宋体"/>
                <w:b/>
                <w:bCs/>
                <w:sz w:val="20"/>
                <w:szCs w:val="20"/>
              </w:rPr>
              <w:t>扣分原因</w:t>
            </w:r>
          </w:p>
        </w:tc>
      </w:tr>
      <w:tr>
        <w:trPr>
          <w:trHeight w:val="1110" w:hRule="atLeast"/>
        </w:trPr>
        <w:tc>
          <w:tcPr>
            <w:tcW w:w="2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决策（</w:t>
            </w:r>
            <w:r>
              <w:rPr>
                <w:rStyle w:val="30"/>
                <w:lang w:bidi="ar"/>
              </w:rPr>
              <w:t>10</w:t>
            </w:r>
            <w:r>
              <w:rPr>
                <w:rStyle w:val="31"/>
                <w:rFonts w:hint="default"/>
                <w:lang w:bidi="ar"/>
              </w:rPr>
              <w:t>分）　</w:t>
            </w: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项目立项（</w:t>
            </w:r>
            <w:r>
              <w:rPr>
                <w:rStyle w:val="30"/>
                <w:lang w:bidi="ar"/>
              </w:rPr>
              <w:t>5</w:t>
            </w:r>
            <w:r>
              <w:rPr>
                <w:rStyle w:val="31"/>
                <w:rFonts w:hint="default"/>
                <w:lang w:bidi="ar"/>
              </w:rPr>
              <w:t>分）　</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立项依据充分性（</w:t>
            </w:r>
            <w:r>
              <w:rPr>
                <w:rStyle w:val="30"/>
                <w:lang w:bidi="ar"/>
              </w:rPr>
              <w:t>2</w:t>
            </w:r>
            <w:r>
              <w:rPr>
                <w:rStyle w:val="31"/>
                <w:rFonts w:hint="default"/>
                <w:lang w:bidi="ar"/>
              </w:rPr>
              <w:t>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与政策法规、发展规划、职能要求的相符性（</w:t>
            </w:r>
            <w:r>
              <w:rPr>
                <w:rStyle w:val="30"/>
                <w:lang w:bidi="ar"/>
              </w:rPr>
              <w:t>2</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项目立项是否符合法律法规、相关政策、发展规划以及部门职责，用以反映和考核项目立项依据情况。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1.8</w:t>
            </w:r>
            <w:r>
              <w:rPr>
                <w:rStyle w:val="31"/>
                <w:rFonts w:hint="default"/>
                <w:lang w:bidi="ar"/>
              </w:rPr>
              <w:t>（含）</w:t>
            </w:r>
            <w:r>
              <w:rPr>
                <w:rStyle w:val="30"/>
                <w:lang w:bidi="ar"/>
              </w:rPr>
              <w:t>-2.0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与法律法规、相关政策、发展规划以及部门职责相符性高</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 xml:space="preserve">1.90 </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政策更新不及时</w:t>
            </w:r>
          </w:p>
        </w:tc>
      </w:tr>
      <w:tr>
        <w:trPr>
          <w:trHeight w:val="10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1.5</w:t>
            </w:r>
            <w:r>
              <w:rPr>
                <w:rStyle w:val="31"/>
                <w:rFonts w:hint="default"/>
                <w:lang w:bidi="ar"/>
              </w:rPr>
              <w:t>（含）</w:t>
            </w:r>
            <w:r>
              <w:rPr>
                <w:rStyle w:val="30"/>
                <w:lang w:bidi="ar"/>
              </w:rPr>
              <w:t>-1.8</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与法律法规、相关政策、发展规划以及部门职责较为相符</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10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1.2</w:t>
            </w:r>
            <w:r>
              <w:rPr>
                <w:rStyle w:val="31"/>
                <w:rFonts w:hint="default"/>
                <w:lang w:bidi="ar"/>
              </w:rPr>
              <w:t>（含）</w:t>
            </w:r>
            <w:r>
              <w:rPr>
                <w:rStyle w:val="30"/>
                <w:lang w:bidi="ar"/>
              </w:rPr>
              <w:t>-1.5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与法律法规、相关政策、发展规划以及部门职责基本相符</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4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-1.2</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与法律法规、相关政策、发展规划以及部门职责不相符</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3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立项程序规范性（</w:t>
            </w:r>
            <w:r>
              <w:rPr>
                <w:rStyle w:val="30"/>
                <w:lang w:bidi="ar"/>
              </w:rPr>
              <w:t>3</w:t>
            </w:r>
            <w:r>
              <w:rPr>
                <w:rStyle w:val="31"/>
                <w:rFonts w:hint="default"/>
                <w:lang w:bidi="ar"/>
              </w:rPr>
              <w:t>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项目立项程序的规范性（1分）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项目是否按照规定的程序申请设立</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立项程序完整、有效，立项程序科学、程序化</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 xml:space="preserve"> </w:t>
            </w:r>
            <w:r>
              <w:rPr>
                <w:rFonts w:hint="default"/>
                <w:color w:val="000000"/>
                <w:kern w:val="0"/>
                <w:sz w:val="18"/>
                <w:szCs w:val="18"/>
                <w:lang w:bidi="ar"/>
              </w:rPr>
              <w:t>0.96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eastAsia="宋体"/>
                <w:color w:val="000000"/>
                <w:sz w:val="18"/>
                <w:szCs w:val="18"/>
                <w:lang w:val="en-US" w:eastAsia="zh-Hans"/>
              </w:rPr>
            </w:pPr>
            <w:r>
              <w:rPr>
                <w:rFonts w:hint="eastAsia"/>
                <w:color w:val="000000"/>
                <w:sz w:val="18"/>
                <w:szCs w:val="18"/>
                <w:lang w:val="en-US" w:eastAsia="zh-Hans"/>
              </w:rPr>
              <w:t>立项依据不够充分</w:t>
            </w:r>
          </w:p>
        </w:tc>
      </w:tr>
      <w:tr>
        <w:trPr>
          <w:trHeight w:val="104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立项程序较为完整、有效，立项程序较为科学、程序化</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93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未将相关立项程序制度化，但项目立项经过相关立项程序</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8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立项程序不完整，缺乏有效性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10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项目立项审批文件的规范性（1分）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审批文件、材料是否符合相关要求</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项目立项的审批文件、材料与相关要求的相符性高</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Fonts w:hint="default"/>
                <w:color w:val="000000"/>
                <w:kern w:val="0"/>
                <w:sz w:val="18"/>
                <w:szCs w:val="18"/>
                <w:lang w:bidi="ar"/>
              </w:rPr>
              <w:t>0.92</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审批文件不够全面</w:t>
            </w:r>
          </w:p>
        </w:tc>
      </w:tr>
      <w:tr>
        <w:trPr>
          <w:trHeight w:val="9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项目立项的审批文件、材料与相关要求的相符性较高</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9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项目立项的审批文件、材料与相关要求的相符性一般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4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项目立项的审批文件、材料与相关要求不相符</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1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项目立项决策结果的合理性（</w:t>
            </w:r>
            <w:r>
              <w:rPr>
                <w:rStyle w:val="30"/>
                <w:lang w:bidi="ar"/>
              </w:rPr>
              <w:t>1</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事前是否已经过必要的可行性研究、专家论证、风险评估、绩效评估、集体决策</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严格履行相关立项决策程序，决策过程有效，项目申报程序规范，可行性研究、专家论证、风险评估、绩效评估、集体决策等申报资料完整</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0.</w:t>
            </w:r>
            <w:r>
              <w:rPr>
                <w:rFonts w:hint="default"/>
                <w:color w:val="000000"/>
                <w:kern w:val="0"/>
                <w:sz w:val="18"/>
                <w:szCs w:val="18"/>
                <w:lang w:bidi="ar"/>
              </w:rPr>
              <w:t>72</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立项决策及论证资料不足</w:t>
            </w:r>
          </w:p>
        </w:tc>
      </w:tr>
      <w:tr>
        <w:trPr>
          <w:trHeight w:val="11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履行了相关决策程序，决策过程较为有效，可行性研究、专家论证、风险评估、绩效评估、集体决策等申报资料较为完整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1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履行了相关决策程序，决策过程的有效性有待提高，决策结果科学性一般；履行了项目申报程序，并提交了可行性研究、专家论证、风险评估、绩效评估、集体决策等相应申报资料</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1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未履行相关决策程序，决策过程流于形式，决策结果缺乏科学性；未履行项目申报程序，可行性研究、专家论证、风险评估、绩效评估、集体决策等申报资料不完整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绩效目标（</w:t>
            </w:r>
            <w:r>
              <w:rPr>
                <w:rStyle w:val="30"/>
                <w:lang w:bidi="ar"/>
              </w:rPr>
              <w:t>3</w:t>
            </w:r>
            <w:r>
              <w:rPr>
                <w:rStyle w:val="31"/>
                <w:rFonts w:hint="default"/>
                <w:lang w:bidi="ar"/>
              </w:rPr>
              <w:t>分）　</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绩效目标合理性（2分）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绩效目标合理性（</w:t>
            </w:r>
            <w:r>
              <w:rPr>
                <w:rStyle w:val="30"/>
                <w:lang w:bidi="ar"/>
              </w:rPr>
              <w:t>2</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是否有绩效目标（如未设定预算绩效目标，可考核其他工作任务目标）；项目绩效目标与实际工作内容是否具有相关性；项目预期产出效益和效果是否符合正常的业绩水平；是否与预算确定的项目投资额或资金量相匹配。</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1.8</w:t>
            </w:r>
            <w:r>
              <w:rPr>
                <w:rStyle w:val="31"/>
                <w:rFonts w:hint="default"/>
                <w:lang w:bidi="ar"/>
              </w:rPr>
              <w:t>（含）</w:t>
            </w:r>
            <w:r>
              <w:rPr>
                <w:rStyle w:val="30"/>
                <w:lang w:bidi="ar"/>
              </w:rPr>
              <w:t>-2.0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绩效目标的设立合理、可行，与实际工作内容相关性强，项目预期产出效益和效果与正常业绩水平的相符性强，与预算确定的项目投资额或资金量的匹配性高</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1.48</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绩效目标合理性不足</w:t>
            </w:r>
          </w:p>
        </w:tc>
      </w:tr>
      <w:tr>
        <w:trPr>
          <w:trHeight w:val="10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1.5</w:t>
            </w:r>
            <w:r>
              <w:rPr>
                <w:rStyle w:val="31"/>
                <w:rFonts w:hint="default"/>
                <w:lang w:bidi="ar"/>
              </w:rPr>
              <w:t>（含）</w:t>
            </w:r>
            <w:r>
              <w:rPr>
                <w:rStyle w:val="30"/>
                <w:lang w:bidi="ar"/>
              </w:rPr>
              <w:t>-1.8</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绩效目标的设立比较合理、可行，与实际工作内容相关性较强，项目预期产出效益和效果与正常业绩水平的相符性较强，与预算确定的项目投资额或资金量的匹配性较高</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1.2</w:t>
            </w:r>
            <w:r>
              <w:rPr>
                <w:rStyle w:val="31"/>
                <w:rFonts w:hint="default"/>
                <w:lang w:bidi="ar"/>
              </w:rPr>
              <w:t>（含）</w:t>
            </w:r>
            <w:r>
              <w:rPr>
                <w:rStyle w:val="30"/>
                <w:lang w:bidi="ar"/>
              </w:rPr>
              <w:t>-1.5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绩效目标的设立基本合理、可行，与实际工作内容相关性一般，项目预期产出效益和效果与正常业绩水平的相符性一般，与预算确定的项目投资额或资金量的匹配性一般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6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-1.2</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绩效目标的设立不太合理、可行，缺乏与实际工作内容的相关性，项目预期产出效益和效果缺乏与正常业绩水平的相符性，缺乏与预算确定的项目投资额或资金量的匹配性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2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绩效指标明确性（1分）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绩效指标明确性（1分）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是否将项目绩效目标细化分解为具体的绩效指标；是否通过清晰、可衡量的指标值予以体现；是否与项目目标任务数或计划数相对应。</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绩效指标充分细化、量化、清晰、可衡量，与项目目标任务数或计划数的对应性强</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0.66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部分指标量化程度不足，可衡量性较弱</w:t>
            </w:r>
          </w:p>
        </w:tc>
      </w:tr>
      <w:tr>
        <w:trPr>
          <w:trHeight w:val="103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绩效指标比较细化、量化、清晰、可衡量，与项目目标任务数或计划数的对应性较强</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8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绩效指标需要进一步细化、量化，与项目目标任务数或计划数的对应性一般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绩效目标不够细化、量化，或未设定量化、细化指标，缺乏与项目目标任务数或计划数的对应性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0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资金投入（</w:t>
            </w:r>
            <w:r>
              <w:rPr>
                <w:rStyle w:val="30"/>
                <w:lang w:bidi="ar"/>
              </w:rPr>
              <w:t>2</w:t>
            </w:r>
            <w:r>
              <w:rPr>
                <w:rStyle w:val="31"/>
                <w:rFonts w:hint="default"/>
                <w:lang w:bidi="ar"/>
              </w:rPr>
              <w:t>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预算编制科学性（1分）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预算编制科学性（1分）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项目预算编制是否经过科学论证、有明确标准，资金额度与年度目标是否相适应，用以反映和考核项目预算编制的科学性、合理性情况。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项目预算编制经过充分的科学论证，资金额度与年度目标适应性强</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0.78</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预算编制细化程度有待加强</w:t>
            </w:r>
          </w:p>
        </w:tc>
      </w:tr>
      <w:tr>
        <w:trPr>
          <w:trHeight w:val="92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项目预算编制经过较为充分的科学论证，资金额度与年度目标适应性较强</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项目预算编制经过一定的科学论证，资金额度与年度目标适应性一般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项目预算编制缺乏科学论证，资金额度与年度目标缺乏适应性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资金分配合理性（1分）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资金分配合理性（</w:t>
            </w:r>
            <w:r>
              <w:rPr>
                <w:rStyle w:val="30"/>
                <w:lang w:bidi="ar"/>
              </w:rPr>
              <w:t>1</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项目预算资金分配是否有测算依据，与补助单位或地方实际是否相适应，用以反映和考核项目预算资金分配的科学性、合理性情况。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项目预算资金分配有充分的测算依据，与补助单位或地方实际适应性强</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0.72</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资金调整依据不足</w:t>
            </w:r>
          </w:p>
        </w:tc>
      </w:tr>
      <w:tr>
        <w:trPr>
          <w:trHeight w:val="6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项目预算资金分配有较为充分的测算依据，与补助单位或地方实际适应性较强</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项目预算资金分配有一定的测算依据，与补助单位或地方实际适应性一般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4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项目预算资金分配缺乏测算依据，与补助单位或地方实际缺乏适应性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240" w:hRule="atLeast"/>
        </w:trPr>
        <w:tc>
          <w:tcPr>
            <w:tcW w:w="2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过程（</w:t>
            </w:r>
            <w:r>
              <w:rPr>
                <w:rStyle w:val="30"/>
                <w:lang w:bidi="ar"/>
              </w:rPr>
              <w:t>20</w:t>
            </w:r>
            <w:r>
              <w:rPr>
                <w:rStyle w:val="31"/>
                <w:rFonts w:hint="default"/>
                <w:lang w:bidi="ar"/>
              </w:rPr>
              <w:t>分）</w:t>
            </w: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资金管理（</w:t>
            </w:r>
            <w:r>
              <w:rPr>
                <w:rStyle w:val="30"/>
                <w:lang w:bidi="ar"/>
              </w:rPr>
              <w:t>8</w:t>
            </w:r>
            <w:r>
              <w:rPr>
                <w:rStyle w:val="31"/>
                <w:rFonts w:hint="default"/>
                <w:lang w:bidi="ar"/>
              </w:rPr>
              <w:t>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资金到位率（2分）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资金到位率（2分）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实际到位资金与预算资金的比率，用以反映和考核资金落实情况对项目实施的总体保障程度。资金到位率</w:t>
            </w:r>
            <w:r>
              <w:rPr>
                <w:rStyle w:val="30"/>
                <w:lang w:bidi="ar"/>
              </w:rPr>
              <w:t>=</w:t>
            </w:r>
            <w:r>
              <w:rPr>
                <w:rStyle w:val="31"/>
                <w:rFonts w:hint="default"/>
                <w:lang w:bidi="ar"/>
              </w:rPr>
              <w:t>（实际到位资金</w:t>
            </w:r>
            <w:r>
              <w:rPr>
                <w:rStyle w:val="30"/>
                <w:lang w:bidi="ar"/>
              </w:rPr>
              <w:t>/</w:t>
            </w:r>
            <w:r>
              <w:rPr>
                <w:rStyle w:val="31"/>
                <w:rFonts w:hint="default"/>
                <w:lang w:bidi="ar"/>
              </w:rPr>
              <w:t>预算资金）</w:t>
            </w:r>
            <w:r>
              <w:rPr>
                <w:rStyle w:val="30"/>
                <w:lang w:bidi="ar"/>
              </w:rPr>
              <w:t>×100%</w:t>
            </w:r>
            <w:r>
              <w:rPr>
                <w:rStyle w:val="31"/>
                <w:rFonts w:hint="default"/>
                <w:lang w:bidi="ar"/>
              </w:rPr>
              <w:t>。</w:t>
            </w:r>
            <w:r>
              <w:rPr>
                <w:rStyle w:val="30"/>
                <w:lang w:bidi="ar"/>
              </w:rPr>
              <w:br w:type="textWrapping"/>
            </w:r>
            <w:r>
              <w:rPr>
                <w:rStyle w:val="31"/>
                <w:rFonts w:hint="default"/>
                <w:lang w:bidi="ar"/>
              </w:rPr>
              <w:t>实际到位资金：一定时期（本年度或项目期）内落实到具体项目的资金。</w:t>
            </w:r>
            <w:r>
              <w:rPr>
                <w:rStyle w:val="30"/>
                <w:lang w:bidi="ar"/>
              </w:rPr>
              <w:br w:type="textWrapping"/>
            </w:r>
            <w:r>
              <w:rPr>
                <w:rStyle w:val="31"/>
                <w:rFonts w:hint="default"/>
                <w:lang w:bidi="ar"/>
              </w:rPr>
              <w:t>预算资金：一定时期（本年度或项目期）内预算安排到具体项目的资金。</w:t>
            </w:r>
          </w:p>
        </w:tc>
        <w:tc>
          <w:tcPr>
            <w:tcW w:w="7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2</w:t>
            </w:r>
          </w:p>
        </w:tc>
        <w:tc>
          <w:tcPr>
            <w:tcW w:w="9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最后得分</w:t>
            </w:r>
            <w:r>
              <w:rPr>
                <w:rStyle w:val="30"/>
                <w:lang w:bidi="ar"/>
              </w:rPr>
              <w:t>=</w:t>
            </w:r>
            <w:r>
              <w:rPr>
                <w:rStyle w:val="31"/>
                <w:rFonts w:hint="default"/>
                <w:lang w:bidi="ar"/>
              </w:rPr>
              <w:t>资金到位率</w:t>
            </w:r>
            <w:r>
              <w:rPr>
                <w:rStyle w:val="30"/>
                <w:lang w:bidi="ar"/>
              </w:rPr>
              <w:t>*2</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2</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8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9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90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9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2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预算执行率（2分）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预算执行率（</w:t>
            </w:r>
            <w:r>
              <w:rPr>
                <w:rStyle w:val="30"/>
                <w:lang w:bidi="ar"/>
              </w:rPr>
              <w:t>2</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项目预算资金是否按照计划执行，用以反映或考核项目预算执行情况。预算执行率</w:t>
            </w:r>
            <w:r>
              <w:rPr>
                <w:rStyle w:val="30"/>
                <w:lang w:bidi="ar"/>
              </w:rPr>
              <w:t>=</w:t>
            </w:r>
            <w:r>
              <w:rPr>
                <w:rStyle w:val="31"/>
                <w:rFonts w:hint="default"/>
                <w:lang w:bidi="ar"/>
              </w:rPr>
              <w:t>（实际支出资金</w:t>
            </w:r>
            <w:r>
              <w:rPr>
                <w:rStyle w:val="30"/>
                <w:lang w:bidi="ar"/>
              </w:rPr>
              <w:t>/</w:t>
            </w:r>
            <w:r>
              <w:rPr>
                <w:rStyle w:val="31"/>
                <w:rFonts w:hint="default"/>
                <w:lang w:bidi="ar"/>
              </w:rPr>
              <w:t>实际到位资金）</w:t>
            </w:r>
            <w:r>
              <w:rPr>
                <w:rStyle w:val="30"/>
                <w:lang w:bidi="ar"/>
              </w:rPr>
              <w:t>×100%</w:t>
            </w:r>
            <w:r>
              <w:rPr>
                <w:rStyle w:val="31"/>
                <w:rFonts w:hint="default"/>
                <w:lang w:bidi="ar"/>
              </w:rPr>
              <w:t>。</w:t>
            </w:r>
            <w:r>
              <w:rPr>
                <w:rStyle w:val="30"/>
                <w:lang w:bidi="ar"/>
              </w:rPr>
              <w:br w:type="textWrapping"/>
            </w:r>
            <w:r>
              <w:rPr>
                <w:rStyle w:val="31"/>
                <w:rFonts w:hint="default"/>
                <w:lang w:bidi="ar"/>
              </w:rPr>
              <w:t>实际支出资金：一定时期（本年度或项目期）内项目实际拨付的资金。</w:t>
            </w:r>
          </w:p>
        </w:tc>
        <w:tc>
          <w:tcPr>
            <w:tcW w:w="7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kern w:val="0"/>
                <w:sz w:val="18"/>
                <w:szCs w:val="18"/>
                <w:lang w:bidi="ar"/>
              </w:rPr>
              <w:t>2</w:t>
            </w:r>
          </w:p>
        </w:tc>
        <w:tc>
          <w:tcPr>
            <w:tcW w:w="9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最后得分</w:t>
            </w:r>
            <w:r>
              <w:rPr>
                <w:rStyle w:val="30"/>
                <w:lang w:bidi="ar"/>
              </w:rPr>
              <w:t>=</w:t>
            </w:r>
            <w:r>
              <w:rPr>
                <w:rStyle w:val="31"/>
                <w:rFonts w:hint="default"/>
                <w:lang w:bidi="ar"/>
              </w:rPr>
              <w:t>预算执行率</w:t>
            </w:r>
            <w:r>
              <w:rPr>
                <w:rStyle w:val="30"/>
                <w:lang w:bidi="ar"/>
              </w:rPr>
              <w:t>*2</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1.7</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预算执行率</w:t>
            </w:r>
            <w:r>
              <w:rPr>
                <w:rFonts w:hint="default" w:ascii="宋体" w:hAnsi="宋体" w:cs="宋体"/>
                <w:color w:val="000000"/>
                <w:kern w:val="0"/>
                <w:sz w:val="18"/>
                <w:szCs w:val="18"/>
                <w:lang w:bidi="ar"/>
              </w:rPr>
              <w:t>83.44</w:t>
            </w:r>
            <w:r>
              <w:rPr>
                <w:rFonts w:hint="eastAsia" w:ascii="宋体" w:hAnsi="宋体" w:cs="宋体"/>
                <w:color w:val="000000"/>
                <w:kern w:val="0"/>
                <w:sz w:val="18"/>
                <w:szCs w:val="18"/>
                <w:lang w:bidi="ar"/>
              </w:rPr>
              <w:t>%</w:t>
            </w:r>
          </w:p>
        </w:tc>
      </w:tr>
      <w:tr>
        <w:trPr>
          <w:trHeight w:val="8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9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9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资金使用合规性（</w:t>
            </w:r>
            <w:r>
              <w:rPr>
                <w:rStyle w:val="30"/>
                <w:lang w:bidi="ar"/>
              </w:rPr>
              <w:t>4</w:t>
            </w:r>
            <w:r>
              <w:rPr>
                <w:rStyle w:val="31"/>
                <w:rFonts w:hint="default"/>
                <w:lang w:bidi="ar"/>
              </w:rPr>
              <w:t>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与法规和制度的相符性（1分）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项目资金使用是否符合相关的财务管理制度规定，用以反映和考核项目资金的规范运行情况。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与国家财经法规和财务管理制度以及有关专项资金管理办法规定的相符性强</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0.86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eastAsia="宋体"/>
                <w:color w:val="000000"/>
                <w:sz w:val="18"/>
                <w:szCs w:val="18"/>
                <w:lang w:val="en-US" w:eastAsia="zh-Hans"/>
              </w:rPr>
            </w:pPr>
            <w:r>
              <w:rPr>
                <w:rFonts w:hint="eastAsia"/>
                <w:color w:val="000000"/>
                <w:sz w:val="18"/>
                <w:szCs w:val="18"/>
                <w:lang w:val="en-US" w:eastAsia="zh-Hans"/>
              </w:rPr>
              <w:t>采购规范性不足</w:t>
            </w:r>
          </w:p>
        </w:tc>
      </w:tr>
      <w:tr>
        <w:trPr>
          <w:trHeight w:val="102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与国家财经法规和财务管理制度以及有关专项资金管理办法规定的相符性较强</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99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与国家财经法规和财务管理制度以及有关专项资金管理办法规定的相符性一般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1003"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与国家财经法规和财务管理制度以及有关专项资金管理办法的规定缺乏相符性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r>
        <w:trPr>
          <w:trHeight w:val="58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资金拨付审批程序和手续的完整性（1分）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资金的拨付是否有完整的审批程序和手续</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资金拨付审批程序和手续完整</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0.96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r>
              <w:rPr>
                <w:rFonts w:hint="eastAsia" w:ascii="宋体" w:hAnsi="宋体" w:cs="宋体"/>
                <w:color w:val="000000"/>
                <w:sz w:val="18"/>
                <w:szCs w:val="18"/>
                <w:lang w:val="en-US" w:eastAsia="zh-Hans"/>
              </w:rPr>
              <w:t>资金审批手续</w:t>
            </w:r>
            <w:r>
              <w:rPr>
                <w:rFonts w:hint="eastAsia" w:ascii="宋体" w:hAnsi="宋体" w:cs="宋体"/>
                <w:color w:val="000000"/>
                <w:sz w:val="18"/>
                <w:szCs w:val="18"/>
              </w:rPr>
              <w:t>有待完善</w:t>
            </w:r>
          </w:p>
        </w:tc>
      </w:tr>
      <w:tr>
        <w:trPr>
          <w:trHeight w:val="56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rFonts w:ascii="宋体" w:hAnsi="宋体" w:cs="宋体"/>
                <w:color w:val="000000"/>
                <w:sz w:val="18"/>
                <w:szCs w:val="18"/>
              </w:rPr>
            </w:pPr>
            <w:r>
              <w:rPr>
                <w:rFonts w:hint="eastAsia" w:ascii="宋体" w:hAnsi="宋体" w:cs="宋体"/>
                <w:color w:val="000000"/>
                <w:kern w:val="0"/>
                <w:sz w:val="18"/>
                <w:szCs w:val="18"/>
                <w:lang w:bidi="ar"/>
              </w:rPr>
              <w:t>资金拨付审批程序和手续较为完整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8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资金拨付审批程序和手续基本完整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7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资金拨付审批程序和手续不完整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9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与项目预算批复或合同规定用途的相符性（1分）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是否符合项目预算批复或合同规定的用途</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与项目预算批复或合同规定用途的相符性强</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0.9</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r>
              <w:rPr>
                <w:rFonts w:hint="eastAsia" w:ascii="宋体" w:hAnsi="宋体" w:cs="宋体"/>
                <w:color w:val="000000"/>
                <w:sz w:val="18"/>
                <w:szCs w:val="18"/>
              </w:rPr>
              <w:t>医疗补助、生活补助和救济费之间存在调整，调整程序不清晰</w:t>
            </w:r>
          </w:p>
        </w:tc>
      </w:tr>
      <w:tr>
        <w:trPr>
          <w:trHeight w:val="55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与项目预算批复或合同规定用途的相符性较强</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4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与项目预算批复或合同规定用途的相符性一般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4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与项目预算批复或合同规定用途缺乏相符性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资金使用规范性（</w:t>
            </w:r>
            <w:r>
              <w:rPr>
                <w:rStyle w:val="30"/>
                <w:lang w:bidi="ar"/>
              </w:rPr>
              <w:t>1</w:t>
            </w:r>
            <w:r>
              <w:rPr>
                <w:rStyle w:val="31"/>
                <w:rFonts w:hint="default"/>
                <w:lang w:bidi="ar"/>
              </w:rPr>
              <w:t>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是否存在截留、挤占、挪用、虚列支出等情况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0.9</w:t>
            </w:r>
            <w:r>
              <w:rPr>
                <w:rStyle w:val="31"/>
                <w:rFonts w:hint="default"/>
                <w:lang w:bidi="ar"/>
              </w:rPr>
              <w:t>（含）</w:t>
            </w:r>
            <w:r>
              <w:rPr>
                <w:rStyle w:val="30"/>
                <w:lang w:bidi="ar"/>
              </w:rPr>
              <w:t>-1.0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资金使用不存在截留、挤占、挪用、虚列支出等情况</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0.96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both"/>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规范性有待加强</w:t>
            </w:r>
          </w:p>
        </w:tc>
      </w:tr>
      <w:tr>
        <w:trPr>
          <w:trHeight w:val="7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0.75</w:t>
            </w:r>
            <w:r>
              <w:rPr>
                <w:rStyle w:val="31"/>
                <w:rFonts w:hint="default"/>
                <w:lang w:bidi="ar"/>
              </w:rPr>
              <w:t>（含）</w:t>
            </w:r>
            <w:r>
              <w:rPr>
                <w:rStyle w:val="30"/>
                <w:lang w:bidi="ar"/>
              </w:rPr>
              <w:t>-0.9</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资金使用基本不存在截留、挤占、挪用、虚列支出等情况</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0.6</w:t>
            </w:r>
            <w:r>
              <w:rPr>
                <w:rStyle w:val="31"/>
                <w:rFonts w:hint="default"/>
                <w:lang w:bidi="ar"/>
              </w:rPr>
              <w:t>（含）</w:t>
            </w:r>
            <w:r>
              <w:rPr>
                <w:rStyle w:val="30"/>
                <w:lang w:bidi="ar"/>
              </w:rPr>
              <w:t>-0.75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资金使用存在轻微截留、挤占、挪用、虚列支出等情况</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-0.6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57" w:type="dxa"/>
              <w:left w:w="108" w:type="dxa"/>
              <w:bottom w:w="57" w:type="dxa"/>
              <w:right w:w="108" w:type="dxa"/>
            </w:tcMar>
            <w:vAlign w:val="center"/>
          </w:tcPr>
          <w:p>
            <w:pPr>
              <w:widowControl/>
              <w:jc w:val="left"/>
              <w:textAlignment w:val="center"/>
              <w:rPr>
                <w:color w:val="000000"/>
                <w:sz w:val="18"/>
                <w:szCs w:val="18"/>
              </w:rPr>
            </w:pPr>
            <w:r>
              <w:rPr>
                <w:rStyle w:val="31"/>
                <w:rFonts w:hint="default"/>
                <w:lang w:bidi="ar"/>
              </w:rPr>
              <w:t>资金使用存在严重截留、挤占、挪用、虚列支出等情况</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1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组织实施（</w:t>
            </w:r>
            <w:r>
              <w:rPr>
                <w:rStyle w:val="30"/>
                <w:lang w:bidi="ar"/>
              </w:rPr>
              <w:t>12</w:t>
            </w:r>
            <w:r>
              <w:rPr>
                <w:rStyle w:val="31"/>
                <w:rFonts w:hint="default"/>
                <w:lang w:bidi="ar"/>
              </w:rPr>
              <w:t>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管理制度健全性（</w:t>
            </w:r>
            <w:r>
              <w:rPr>
                <w:rStyle w:val="30"/>
                <w:lang w:bidi="ar"/>
              </w:rPr>
              <w:t>4</w:t>
            </w:r>
            <w:r>
              <w:rPr>
                <w:rStyle w:val="31"/>
                <w:rFonts w:hint="default"/>
                <w:lang w:bidi="ar"/>
              </w:rPr>
              <w:t>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财务和业务管理制度健全性（2分）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项目实施单位的财务和业务管理制度是否健全，用以反映和考核财务和业务管理制度对项目顺利实施的保障情况。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1.8</w:t>
            </w:r>
            <w:r>
              <w:rPr>
                <w:rStyle w:val="31"/>
                <w:rFonts w:hint="default"/>
                <w:lang w:bidi="ar"/>
              </w:rPr>
              <w:t>（含）</w:t>
            </w:r>
            <w:r>
              <w:rPr>
                <w:rStyle w:val="30"/>
                <w:lang w:bidi="ar"/>
              </w:rPr>
              <w:t>-2.0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项目单位财务和业务管理制度健全</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1.7</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sz w:val="18"/>
                <w:szCs w:val="18"/>
                <w:lang w:eastAsia="zh-Hans"/>
              </w:rPr>
            </w:pPr>
            <w:r>
              <w:rPr>
                <w:rStyle w:val="31"/>
                <w:rFonts w:hint="eastAsia"/>
                <w:lang w:val="en-US" w:eastAsia="zh-Hans" w:bidi="ar"/>
              </w:rPr>
              <w:t>采购管理规范性不足</w:t>
            </w:r>
          </w:p>
        </w:tc>
      </w:tr>
      <w:tr>
        <w:trPr>
          <w:trHeight w:val="57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1.5</w:t>
            </w:r>
            <w:r>
              <w:rPr>
                <w:rStyle w:val="31"/>
                <w:rFonts w:hint="default"/>
                <w:lang w:bidi="ar"/>
              </w:rPr>
              <w:t>（含）</w:t>
            </w:r>
            <w:r>
              <w:rPr>
                <w:rStyle w:val="30"/>
                <w:lang w:bidi="ar"/>
              </w:rPr>
              <w:t>-1.8</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项目单位财务和业务管理制度较为健全</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5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1.2</w:t>
            </w:r>
            <w:r>
              <w:rPr>
                <w:rStyle w:val="31"/>
                <w:rFonts w:hint="default"/>
                <w:lang w:bidi="ar"/>
              </w:rPr>
              <w:t>（含）</w:t>
            </w:r>
            <w:r>
              <w:rPr>
                <w:rStyle w:val="30"/>
                <w:lang w:bidi="ar"/>
              </w:rPr>
              <w:t>-1.5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项目单位财务和业务管理制度健全性一般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3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-1.2</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项目单位财务和业务管理制度不健全</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财务和业务管理制度合法、合规和完整性（2分）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财务和业务管理制度是否合法、合规、完整</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1.8</w:t>
            </w:r>
            <w:r>
              <w:rPr>
                <w:rStyle w:val="31"/>
                <w:rFonts w:hint="default"/>
                <w:lang w:bidi="ar"/>
              </w:rPr>
              <w:t>（含）</w:t>
            </w:r>
            <w:r>
              <w:rPr>
                <w:rStyle w:val="30"/>
                <w:lang w:bidi="ar"/>
              </w:rPr>
              <w:t>-2.0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项目单位财务和业务管理制度合法、合规和完整</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1.76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r>
              <w:rPr>
                <w:rStyle w:val="31"/>
                <w:rFonts w:hint="eastAsia"/>
                <w:lang w:val="en-US" w:eastAsia="zh-Hans" w:bidi="ar"/>
              </w:rPr>
              <w:t>采购管理规范性不足</w:t>
            </w:r>
          </w:p>
        </w:tc>
      </w:tr>
      <w:tr>
        <w:trPr>
          <w:trHeight w:val="7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1.5</w:t>
            </w:r>
            <w:r>
              <w:rPr>
                <w:rStyle w:val="31"/>
                <w:rFonts w:hint="default"/>
                <w:lang w:bidi="ar"/>
              </w:rPr>
              <w:t>（含）</w:t>
            </w:r>
            <w:r>
              <w:rPr>
                <w:rStyle w:val="30"/>
                <w:lang w:bidi="ar"/>
              </w:rPr>
              <w:t>-1.8</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项目单位财务和业务管理制度较为合法、合规和完整</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2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1.2</w:t>
            </w:r>
            <w:r>
              <w:rPr>
                <w:rStyle w:val="31"/>
                <w:rFonts w:hint="default"/>
                <w:lang w:bidi="ar"/>
              </w:rPr>
              <w:t>（含）</w:t>
            </w:r>
            <w:r>
              <w:rPr>
                <w:rStyle w:val="30"/>
                <w:lang w:bidi="ar"/>
              </w:rPr>
              <w:t>-1.5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项目单位财务和业务管理制度合法性、合规性和完整性一般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4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-1.2</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项目单位财务和业务管理制度缺乏合法性、合规性和完整性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1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制度执行有效性（</w:t>
            </w:r>
            <w:r>
              <w:rPr>
                <w:rStyle w:val="30"/>
                <w:lang w:bidi="ar"/>
              </w:rPr>
              <w:t>8</w:t>
            </w:r>
            <w:r>
              <w:rPr>
                <w:rStyle w:val="31"/>
                <w:rFonts w:hint="default"/>
                <w:lang w:bidi="ar"/>
              </w:rPr>
              <w:t>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遵守相关法律法规和相关管理规定情况（4分）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项目实施是否遵守相关法律法规和相关管理规定，用以反映和考核相关管理制度的有效执行情况。</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3.6</w:t>
            </w:r>
            <w:r>
              <w:rPr>
                <w:rStyle w:val="31"/>
                <w:rFonts w:hint="default"/>
                <w:lang w:bidi="ar"/>
              </w:rPr>
              <w:t>（含）</w:t>
            </w:r>
            <w:r>
              <w:rPr>
                <w:rStyle w:val="30"/>
                <w:lang w:bidi="ar"/>
              </w:rPr>
              <w:t>-</w:t>
            </w:r>
            <w:r>
              <w:rPr>
                <w:rStyle w:val="30"/>
                <w:rFonts w:hint="eastAsia"/>
                <w:lang w:bidi="ar"/>
              </w:rPr>
              <w:t>4</w:t>
            </w:r>
            <w:r>
              <w:rPr>
                <w:rStyle w:val="30"/>
                <w:lang w:bidi="ar"/>
              </w:rPr>
              <w:t>.0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项目单位严格遵守相关法律法规和相关管理规定</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3</w:t>
            </w:r>
            <w:r>
              <w:rPr>
                <w:rFonts w:hint="eastAsia"/>
                <w:color w:val="000000"/>
                <w:sz w:val="18"/>
                <w:szCs w:val="18"/>
                <w:lang w:eastAsia="zh-Hans"/>
              </w:rPr>
              <w:t>.</w:t>
            </w:r>
            <w:r>
              <w:rPr>
                <w:rFonts w:hint="default"/>
                <w:color w:val="000000"/>
                <w:sz w:val="18"/>
                <w:szCs w:val="18"/>
                <w:lang w:eastAsia="zh-Hans"/>
              </w:rPr>
              <w:t>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color w:val="000000"/>
                <w:sz w:val="18"/>
                <w:szCs w:val="18"/>
                <w:lang w:val="en-US" w:eastAsia="zh-Hans"/>
              </w:rPr>
            </w:pPr>
            <w:r>
              <w:rPr>
                <w:rFonts w:hint="eastAsia" w:ascii="宋体" w:hAnsi="宋体" w:cs="宋体"/>
                <w:color w:val="000000"/>
                <w:sz w:val="18"/>
                <w:szCs w:val="18"/>
                <w:lang w:val="en-US" w:eastAsia="zh-Hans"/>
              </w:rPr>
              <w:t>相关管理规定需加强</w:t>
            </w:r>
          </w:p>
        </w:tc>
      </w:tr>
      <w:tr>
        <w:trPr>
          <w:trHeight w:val="7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3.0</w:t>
            </w:r>
            <w:r>
              <w:rPr>
                <w:rStyle w:val="31"/>
                <w:rFonts w:hint="default"/>
                <w:lang w:bidi="ar"/>
              </w:rPr>
              <w:t>（含）</w:t>
            </w:r>
            <w:r>
              <w:rPr>
                <w:rStyle w:val="30"/>
                <w:lang w:bidi="ar"/>
              </w:rPr>
              <w:t>-</w:t>
            </w:r>
            <w:r>
              <w:rPr>
                <w:rStyle w:val="30"/>
                <w:rFonts w:hint="eastAsia"/>
                <w:lang w:bidi="ar"/>
              </w:rPr>
              <w:t>3.6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rFonts w:ascii="宋体" w:hAnsi="宋体" w:cs="宋体"/>
                <w:color w:val="000000"/>
                <w:sz w:val="18"/>
                <w:szCs w:val="18"/>
              </w:rPr>
            </w:pPr>
            <w:r>
              <w:rPr>
                <w:rFonts w:hint="eastAsia" w:ascii="宋体" w:hAnsi="宋体" w:cs="宋体"/>
                <w:color w:val="000000"/>
                <w:kern w:val="0"/>
                <w:sz w:val="18"/>
                <w:szCs w:val="18"/>
                <w:lang w:bidi="ar"/>
              </w:rPr>
              <w:t>项目单位较好地遵守了相关法律法规和相关管理规定</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2.4</w:t>
            </w:r>
            <w:r>
              <w:rPr>
                <w:rStyle w:val="31"/>
                <w:rFonts w:hint="default"/>
                <w:lang w:bidi="ar"/>
              </w:rPr>
              <w:t>（含）</w:t>
            </w:r>
            <w:r>
              <w:rPr>
                <w:rStyle w:val="30"/>
                <w:lang w:bidi="ar"/>
              </w:rPr>
              <w:t>-</w:t>
            </w:r>
            <w:r>
              <w:rPr>
                <w:rStyle w:val="30"/>
                <w:rFonts w:hint="eastAsia"/>
                <w:lang w:bidi="ar"/>
              </w:rPr>
              <w:t>3.0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项目单位一定程度上遵守了相关法律法规和相关管理规定</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6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w:t>
            </w:r>
            <w:r>
              <w:rPr>
                <w:rStyle w:val="30"/>
                <w:rFonts w:hint="eastAsia"/>
                <w:lang w:bidi="ar"/>
              </w:rPr>
              <w:t>2.4</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02" w:type="dxa"/>
              <w:left w:w="108" w:type="dxa"/>
              <w:bottom w:w="102" w:type="dxa"/>
              <w:right w:w="108" w:type="dxa"/>
            </w:tcMar>
            <w:vAlign w:val="center"/>
          </w:tcPr>
          <w:p>
            <w:pPr>
              <w:widowControl/>
              <w:jc w:val="left"/>
              <w:textAlignment w:val="center"/>
              <w:rPr>
                <w:color w:val="000000"/>
                <w:sz w:val="18"/>
                <w:szCs w:val="18"/>
              </w:rPr>
            </w:pPr>
            <w:r>
              <w:rPr>
                <w:rStyle w:val="31"/>
                <w:rFonts w:hint="default"/>
                <w:lang w:bidi="ar"/>
              </w:rPr>
              <w:t>项目单位未遵守相关法律法规和相关管理规定</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0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项目调整及支出调整手续完备情况（4分）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项目调整及支出调整手续是否完备</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3.6</w:t>
            </w:r>
            <w:r>
              <w:rPr>
                <w:rStyle w:val="31"/>
                <w:rFonts w:hint="default"/>
                <w:lang w:bidi="ar"/>
              </w:rPr>
              <w:t>（含）</w:t>
            </w:r>
            <w:r>
              <w:rPr>
                <w:rStyle w:val="30"/>
                <w:lang w:bidi="ar"/>
              </w:rPr>
              <w:t>-</w:t>
            </w:r>
            <w:r>
              <w:rPr>
                <w:rStyle w:val="30"/>
                <w:rFonts w:hint="eastAsia"/>
                <w:lang w:bidi="ar"/>
              </w:rPr>
              <w:t>4</w:t>
            </w:r>
            <w:r>
              <w:rPr>
                <w:rStyle w:val="30"/>
                <w:lang w:bidi="ar"/>
              </w:rPr>
              <w:t>.0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59" w:type="dxa"/>
              <w:left w:w="108" w:type="dxa"/>
              <w:bottom w:w="159" w:type="dxa"/>
              <w:right w:w="108" w:type="dxa"/>
            </w:tcMar>
            <w:vAlign w:val="center"/>
          </w:tcPr>
          <w:p>
            <w:pPr>
              <w:widowControl/>
              <w:jc w:val="left"/>
              <w:textAlignment w:val="center"/>
              <w:rPr>
                <w:color w:val="000000"/>
                <w:sz w:val="18"/>
                <w:szCs w:val="18"/>
              </w:rPr>
            </w:pPr>
            <w:r>
              <w:rPr>
                <w:rStyle w:val="31"/>
                <w:rFonts w:hint="default"/>
                <w:lang w:bidi="ar"/>
              </w:rPr>
              <w:t>项目调整及支出调整手续完备性高</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3</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r>
              <w:rPr>
                <w:rStyle w:val="31"/>
                <w:rFonts w:hint="default"/>
                <w:lang w:bidi="ar"/>
              </w:rPr>
              <w:t>未见项目支出调整支撑资料</w:t>
            </w:r>
          </w:p>
        </w:tc>
      </w:tr>
      <w:tr>
        <w:trPr>
          <w:trHeight w:val="60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3.0</w:t>
            </w:r>
            <w:r>
              <w:rPr>
                <w:rStyle w:val="31"/>
                <w:rFonts w:hint="default"/>
                <w:lang w:bidi="ar"/>
              </w:rPr>
              <w:t>（含）</w:t>
            </w:r>
            <w:r>
              <w:rPr>
                <w:rStyle w:val="30"/>
                <w:lang w:bidi="ar"/>
              </w:rPr>
              <w:t>-</w:t>
            </w:r>
            <w:r>
              <w:rPr>
                <w:rStyle w:val="30"/>
                <w:rFonts w:hint="eastAsia"/>
                <w:lang w:bidi="ar"/>
              </w:rPr>
              <w:t>3.6</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59" w:type="dxa"/>
              <w:left w:w="108" w:type="dxa"/>
              <w:bottom w:w="159" w:type="dxa"/>
              <w:right w:w="108" w:type="dxa"/>
            </w:tcMar>
            <w:vAlign w:val="center"/>
          </w:tcPr>
          <w:p>
            <w:pPr>
              <w:widowControl/>
              <w:jc w:val="left"/>
              <w:textAlignment w:val="center"/>
              <w:rPr>
                <w:color w:val="000000"/>
                <w:sz w:val="18"/>
                <w:szCs w:val="18"/>
              </w:rPr>
            </w:pPr>
            <w:r>
              <w:rPr>
                <w:rStyle w:val="31"/>
                <w:rFonts w:hint="default"/>
                <w:lang w:bidi="ar"/>
              </w:rPr>
              <w:t>项目调整及支出调整手续完备性较高</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2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rFonts w:hint="eastAsia"/>
                <w:lang w:bidi="ar"/>
              </w:rPr>
              <w:t>2.4</w:t>
            </w:r>
            <w:r>
              <w:rPr>
                <w:rStyle w:val="31"/>
                <w:rFonts w:hint="default"/>
                <w:lang w:bidi="ar"/>
              </w:rPr>
              <w:t>（含）</w:t>
            </w:r>
            <w:r>
              <w:rPr>
                <w:rStyle w:val="30"/>
                <w:lang w:bidi="ar"/>
              </w:rPr>
              <w:t>-</w:t>
            </w:r>
            <w:r>
              <w:rPr>
                <w:rStyle w:val="30"/>
                <w:rFonts w:hint="eastAsia"/>
                <w:lang w:bidi="ar"/>
              </w:rPr>
              <w:t>3.0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59" w:type="dxa"/>
              <w:left w:w="108" w:type="dxa"/>
              <w:bottom w:w="159" w:type="dxa"/>
              <w:right w:w="108" w:type="dxa"/>
            </w:tcMar>
            <w:vAlign w:val="center"/>
          </w:tcPr>
          <w:p>
            <w:pPr>
              <w:widowControl/>
              <w:jc w:val="left"/>
              <w:textAlignment w:val="center"/>
              <w:rPr>
                <w:color w:val="000000"/>
                <w:sz w:val="18"/>
                <w:szCs w:val="18"/>
              </w:rPr>
            </w:pPr>
            <w:r>
              <w:rPr>
                <w:rStyle w:val="31"/>
                <w:rFonts w:hint="default"/>
                <w:lang w:bidi="ar"/>
              </w:rPr>
              <w:t>项目调整及支出调整手续完备性一般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9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w:t>
            </w:r>
            <w:r>
              <w:rPr>
                <w:rStyle w:val="30"/>
                <w:rFonts w:hint="eastAsia"/>
                <w:lang w:bidi="ar"/>
              </w:rPr>
              <w:t>2.4</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59" w:type="dxa"/>
              <w:left w:w="108" w:type="dxa"/>
              <w:bottom w:w="159" w:type="dxa"/>
              <w:right w:w="108" w:type="dxa"/>
            </w:tcMar>
            <w:vAlign w:val="center"/>
          </w:tcPr>
          <w:p>
            <w:pPr>
              <w:widowControl/>
              <w:jc w:val="left"/>
              <w:textAlignment w:val="center"/>
              <w:rPr>
                <w:color w:val="000000"/>
                <w:sz w:val="18"/>
                <w:szCs w:val="18"/>
              </w:rPr>
            </w:pPr>
            <w:r>
              <w:rPr>
                <w:rStyle w:val="31"/>
                <w:rFonts w:hint="default"/>
                <w:lang w:bidi="ar"/>
              </w:rPr>
              <w:t>项目调整及支出调整手续缺乏完备性</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90" w:hRule="atLeast"/>
        </w:trPr>
        <w:tc>
          <w:tcPr>
            <w:tcW w:w="2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产出（</w:t>
            </w:r>
            <w:r>
              <w:rPr>
                <w:rStyle w:val="30"/>
                <w:lang w:bidi="ar"/>
              </w:rPr>
              <w:t>40</w:t>
            </w:r>
            <w:r>
              <w:rPr>
                <w:rStyle w:val="31"/>
                <w:rFonts w:hint="default"/>
                <w:lang w:bidi="ar"/>
              </w:rPr>
              <w:t>分）</w:t>
            </w: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产出数量（</w:t>
            </w:r>
            <w:r>
              <w:rPr>
                <w:rStyle w:val="30"/>
                <w:lang w:bidi="ar"/>
              </w:rPr>
              <w:t>10</w:t>
            </w:r>
            <w:r>
              <w:rPr>
                <w:rStyle w:val="31"/>
                <w:rFonts w:hint="default"/>
                <w:lang w:bidi="ar"/>
              </w:rPr>
              <w:t>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实际完成率（10分）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实际完成率（10分）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项目实施的实际产出数与计划产出数的比率，用以反映和考核项目产出数量目标的实现程度。实际完成率</w:t>
            </w:r>
            <w:r>
              <w:rPr>
                <w:rStyle w:val="30"/>
                <w:lang w:bidi="ar"/>
              </w:rPr>
              <w:t>=</w:t>
            </w:r>
            <w:r>
              <w:rPr>
                <w:rStyle w:val="31"/>
                <w:rFonts w:hint="default"/>
                <w:lang w:bidi="ar"/>
              </w:rPr>
              <w:t>（实际产出数</w:t>
            </w:r>
            <w:r>
              <w:rPr>
                <w:rStyle w:val="30"/>
                <w:lang w:bidi="ar"/>
              </w:rPr>
              <w:t>/</w:t>
            </w:r>
            <w:r>
              <w:rPr>
                <w:rStyle w:val="31"/>
                <w:rFonts w:hint="default"/>
                <w:lang w:bidi="ar"/>
              </w:rPr>
              <w:t>计划产出数）</w:t>
            </w:r>
            <w:r>
              <w:rPr>
                <w:rStyle w:val="30"/>
                <w:lang w:bidi="ar"/>
              </w:rPr>
              <w:t>×100%</w:t>
            </w:r>
            <w:r>
              <w:rPr>
                <w:rStyle w:val="31"/>
                <w:rFonts w:hint="default"/>
                <w:lang w:bidi="ar"/>
              </w:rPr>
              <w:t>。</w:t>
            </w:r>
            <w:r>
              <w:rPr>
                <w:rStyle w:val="30"/>
                <w:lang w:bidi="ar"/>
              </w:rPr>
              <w:br w:type="textWrapping"/>
            </w:r>
            <w:r>
              <w:rPr>
                <w:rStyle w:val="31"/>
                <w:rFonts w:hint="default"/>
                <w:lang w:bidi="ar"/>
              </w:rPr>
              <w:t>实际产出数：一定时期（本年度或项目期）内项目实际产出的产品或提供的服务数量。</w:t>
            </w:r>
            <w:r>
              <w:rPr>
                <w:rStyle w:val="30"/>
                <w:lang w:bidi="ar"/>
              </w:rPr>
              <w:br w:type="textWrapping"/>
            </w:r>
            <w:r>
              <w:rPr>
                <w:rStyle w:val="31"/>
                <w:rFonts w:hint="default"/>
                <w:lang w:bidi="ar"/>
              </w:rPr>
              <w:t>计划产出数：项目绩效目标确定的在一定时期（本年度或项目期）内计划产出的产品或提供的服务数量。</w:t>
            </w: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实际完成率</w:t>
            </w:r>
            <w:r>
              <w:rPr>
                <w:rStyle w:val="30"/>
                <w:lang w:bidi="ar"/>
              </w:rPr>
              <w:t>≥95%</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7.5</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color w:val="000000"/>
                <w:sz w:val="18"/>
                <w:szCs w:val="18"/>
                <w:lang w:eastAsia="zh-Hans"/>
              </w:rPr>
            </w:pPr>
            <w:r>
              <w:rPr>
                <w:rFonts w:hint="eastAsia" w:ascii="宋体" w:hAnsi="宋体" w:cs="宋体"/>
                <w:color w:val="000000"/>
                <w:kern w:val="0"/>
                <w:sz w:val="18"/>
                <w:szCs w:val="18"/>
                <w:lang w:val="en-US" w:eastAsia="zh-Hans" w:bidi="ar"/>
              </w:rPr>
              <w:t>疗养服务未开展</w:t>
            </w:r>
          </w:p>
        </w:tc>
      </w:tr>
      <w:tr>
        <w:trPr>
          <w:trHeight w:val="109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0"/>
                <w:lang w:bidi="ar"/>
              </w:rPr>
              <w:t>80%≤</w:t>
            </w:r>
            <w:r>
              <w:rPr>
                <w:rStyle w:val="31"/>
                <w:rFonts w:hint="default"/>
                <w:lang w:bidi="ar"/>
              </w:rPr>
              <w:t>实际完成率＜</w:t>
            </w:r>
            <w:r>
              <w:rPr>
                <w:rStyle w:val="30"/>
                <w:lang w:bidi="ar"/>
              </w:rPr>
              <w:t>95%</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0"/>
                <w:lang w:bidi="ar"/>
              </w:rPr>
              <w:t>60%≤</w:t>
            </w:r>
            <w:r>
              <w:rPr>
                <w:rStyle w:val="31"/>
                <w:rFonts w:hint="default"/>
                <w:lang w:bidi="ar"/>
              </w:rPr>
              <w:t>实际完成率＜</w:t>
            </w:r>
            <w:r>
              <w:rPr>
                <w:rStyle w:val="30"/>
                <w:lang w:bidi="ar"/>
              </w:rPr>
              <w:t>80%</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51"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实际完成率＜</w:t>
            </w:r>
            <w:r>
              <w:rPr>
                <w:rStyle w:val="30"/>
                <w:lang w:bidi="ar"/>
              </w:rPr>
              <w:t>60%</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9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产出质量（10分）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质量达标率（10分）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质量达标率（10分）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项目完成的质量达标产出数与实际产出数的比率，用以反映和考核项目产出质量目标的实现程度。质量达标率</w:t>
            </w:r>
            <w:r>
              <w:rPr>
                <w:rStyle w:val="30"/>
                <w:lang w:bidi="ar"/>
              </w:rPr>
              <w:t>=</w:t>
            </w:r>
            <w:r>
              <w:rPr>
                <w:rStyle w:val="31"/>
                <w:rFonts w:hint="default"/>
                <w:lang w:bidi="ar"/>
              </w:rPr>
              <w:t>（质量达标产出数</w:t>
            </w:r>
            <w:r>
              <w:rPr>
                <w:rStyle w:val="30"/>
                <w:lang w:bidi="ar"/>
              </w:rPr>
              <w:t>/</w:t>
            </w:r>
            <w:r>
              <w:rPr>
                <w:rStyle w:val="31"/>
                <w:rFonts w:hint="default"/>
                <w:lang w:bidi="ar"/>
              </w:rPr>
              <w:t>实际产出数）</w:t>
            </w:r>
            <w:r>
              <w:rPr>
                <w:rStyle w:val="30"/>
                <w:lang w:bidi="ar"/>
              </w:rPr>
              <w:t>×100%</w:t>
            </w:r>
            <w:r>
              <w:rPr>
                <w:rStyle w:val="31"/>
                <w:rFonts w:hint="default"/>
                <w:lang w:bidi="ar"/>
              </w:rPr>
              <w:t>。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质量达标率</w:t>
            </w:r>
            <w:r>
              <w:rPr>
                <w:rStyle w:val="30"/>
                <w:lang w:bidi="ar"/>
              </w:rPr>
              <w:t>≥95%</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过程资料支撑不足</w:t>
            </w:r>
          </w:p>
        </w:tc>
      </w:tr>
      <w:tr>
        <w:trPr>
          <w:trHeight w:val="9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0"/>
                <w:lang w:bidi="ar"/>
              </w:rPr>
              <w:t>80%≤</w:t>
            </w:r>
            <w:r>
              <w:rPr>
                <w:rStyle w:val="31"/>
                <w:rFonts w:hint="default"/>
                <w:lang w:bidi="ar"/>
              </w:rPr>
              <w:t>质量达标率＜</w:t>
            </w:r>
            <w:r>
              <w:rPr>
                <w:rStyle w:val="30"/>
                <w:lang w:bidi="ar"/>
              </w:rPr>
              <w:t>95%</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11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0"/>
                <w:lang w:bidi="ar"/>
              </w:rPr>
              <w:t>60%≤</w:t>
            </w:r>
            <w:r>
              <w:rPr>
                <w:rStyle w:val="31"/>
                <w:rFonts w:hint="default"/>
                <w:lang w:bidi="ar"/>
              </w:rPr>
              <w:t>质量达标率＜</w:t>
            </w:r>
            <w:r>
              <w:rPr>
                <w:rStyle w:val="30"/>
                <w:lang w:bidi="ar"/>
              </w:rPr>
              <w:t>80%</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46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质量达标率＜</w:t>
            </w:r>
            <w:r>
              <w:rPr>
                <w:rStyle w:val="30"/>
                <w:lang w:bidi="ar"/>
              </w:rPr>
              <w:t>60%</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产出时效（10分）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完成及时性（10分）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完成及时性（10分）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实际完成时间与计划完成时间的比较，用以反映和考核项目产出时效目标的实现程度。实际完成时间：项目实施单位完成该项目实际所耗用的时间。计划完成时间：按照项目实施计划或相关规定完成该项目所需的时间。</w:t>
            </w: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项目实施完成及时性好</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8.5</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r>
              <w:rPr>
                <w:rFonts w:hint="eastAsia" w:ascii="宋体" w:hAnsi="宋体" w:cs="宋体"/>
                <w:color w:val="000000"/>
                <w:sz w:val="18"/>
                <w:szCs w:val="18"/>
              </w:rPr>
              <w:t>部分内容未开展</w:t>
            </w:r>
          </w:p>
        </w:tc>
      </w:tr>
      <w:tr>
        <w:trPr>
          <w:trHeight w:val="78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rFonts w:ascii="宋体" w:hAnsi="宋体" w:cs="宋体"/>
                <w:color w:val="000000"/>
                <w:sz w:val="18"/>
                <w:szCs w:val="18"/>
              </w:rPr>
            </w:pPr>
            <w:r>
              <w:rPr>
                <w:rFonts w:hint="eastAsia" w:ascii="宋体" w:hAnsi="宋体" w:cs="宋体"/>
                <w:color w:val="000000"/>
                <w:kern w:val="0"/>
                <w:sz w:val="18"/>
                <w:szCs w:val="18"/>
                <w:lang w:bidi="ar"/>
              </w:rPr>
              <w:t>项目实施完成及时性较好</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1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项目实施完成及时性一般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8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42" w:type="dxa"/>
              <w:left w:w="108" w:type="dxa"/>
              <w:bottom w:w="142" w:type="dxa"/>
              <w:right w:w="108" w:type="dxa"/>
            </w:tcMar>
            <w:vAlign w:val="center"/>
          </w:tcPr>
          <w:p>
            <w:pPr>
              <w:widowControl/>
              <w:jc w:val="left"/>
              <w:textAlignment w:val="center"/>
              <w:rPr>
                <w:color w:val="000000"/>
                <w:sz w:val="18"/>
                <w:szCs w:val="18"/>
              </w:rPr>
            </w:pPr>
            <w:r>
              <w:rPr>
                <w:rStyle w:val="31"/>
                <w:rFonts w:hint="default"/>
                <w:lang w:bidi="ar"/>
              </w:rPr>
              <w:t>项目实施未及时完成</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97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产出成本（10分）</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成本节约率（10分）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成本节约率（10分）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完成项目计划工作目标的实际节约成本与计划成本的比率，用以反映和考核项目的成本节约程度。成本节约率</w:t>
            </w:r>
            <w:r>
              <w:rPr>
                <w:rStyle w:val="30"/>
                <w:lang w:bidi="ar"/>
              </w:rPr>
              <w:t>=[</w:t>
            </w:r>
            <w:r>
              <w:rPr>
                <w:rStyle w:val="31"/>
                <w:rFonts w:hint="default"/>
                <w:lang w:bidi="ar"/>
              </w:rPr>
              <w:t>（计划成本</w:t>
            </w:r>
            <w:r>
              <w:rPr>
                <w:rStyle w:val="30"/>
                <w:lang w:bidi="ar"/>
              </w:rPr>
              <w:t>-</w:t>
            </w:r>
            <w:r>
              <w:rPr>
                <w:rStyle w:val="31"/>
                <w:rFonts w:hint="default"/>
                <w:lang w:bidi="ar"/>
              </w:rPr>
              <w:t>实际成本）</w:t>
            </w:r>
            <w:r>
              <w:rPr>
                <w:rStyle w:val="30"/>
                <w:lang w:bidi="ar"/>
              </w:rPr>
              <w:t>/</w:t>
            </w:r>
            <w:r>
              <w:rPr>
                <w:rStyle w:val="31"/>
                <w:rFonts w:hint="default"/>
                <w:lang w:bidi="ar"/>
              </w:rPr>
              <w:t>计划成本</w:t>
            </w:r>
            <w:r>
              <w:rPr>
                <w:rStyle w:val="30"/>
                <w:lang w:bidi="ar"/>
              </w:rPr>
              <w:t>]×100%</w:t>
            </w:r>
            <w:r>
              <w:rPr>
                <w:rStyle w:val="31"/>
                <w:rFonts w:hint="default"/>
                <w:lang w:bidi="ar"/>
              </w:rPr>
              <w:t>。</w:t>
            </w:r>
            <w:r>
              <w:rPr>
                <w:rStyle w:val="30"/>
                <w:lang w:bidi="ar"/>
              </w:rPr>
              <w:br w:type="textWrapping"/>
            </w:r>
            <w:r>
              <w:rPr>
                <w:rStyle w:val="31"/>
                <w:rFonts w:hint="default"/>
                <w:lang w:bidi="ar"/>
              </w:rPr>
              <w:t>实际成本：项目实施单位如期、保质、保量完成既定工作目标实际所耗费的支出。</w:t>
            </w:r>
            <w:r>
              <w:rPr>
                <w:rStyle w:val="30"/>
                <w:lang w:bidi="ar"/>
              </w:rPr>
              <w:br w:type="textWrapping"/>
            </w:r>
            <w:r>
              <w:rPr>
                <w:rStyle w:val="31"/>
                <w:rFonts w:hint="default"/>
                <w:lang w:bidi="ar"/>
              </w:rPr>
              <w:t>计划成本：项目实施单位为完成工作目标计划安排的支出，一般以项目预算为参考。</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项目实施成本节约率高</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8.6</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成本控制措施有待提高</w:t>
            </w:r>
          </w:p>
        </w:tc>
      </w:tr>
      <w:tr>
        <w:trPr>
          <w:trHeight w:val="9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项目实施成本节约率较高</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103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项目实施成本节约率一般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0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tcMar>
              <w:top w:w="113" w:type="dxa"/>
              <w:left w:w="108" w:type="dxa"/>
              <w:bottom w:w="113" w:type="dxa"/>
              <w:right w:w="108" w:type="dxa"/>
            </w:tcMar>
            <w:vAlign w:val="center"/>
          </w:tcPr>
          <w:p>
            <w:pPr>
              <w:widowControl/>
              <w:jc w:val="left"/>
              <w:textAlignment w:val="center"/>
              <w:rPr>
                <w:color w:val="000000"/>
                <w:sz w:val="18"/>
                <w:szCs w:val="18"/>
              </w:rPr>
            </w:pPr>
            <w:r>
              <w:rPr>
                <w:rStyle w:val="31"/>
                <w:rFonts w:hint="default"/>
                <w:lang w:bidi="ar"/>
              </w:rPr>
              <w:t>项目实施成本节约率低</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36" w:hRule="atLeast"/>
        </w:trPr>
        <w:tc>
          <w:tcPr>
            <w:tcW w:w="2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效益（</w:t>
            </w:r>
            <w:r>
              <w:rPr>
                <w:rStyle w:val="30"/>
                <w:lang w:bidi="ar"/>
              </w:rPr>
              <w:t>30</w:t>
            </w:r>
            <w:r>
              <w:rPr>
                <w:rStyle w:val="31"/>
                <w:rFonts w:hint="default"/>
                <w:lang w:bidi="ar"/>
              </w:rPr>
              <w:t>分）　</w:t>
            </w:r>
          </w:p>
        </w:tc>
        <w:tc>
          <w:tcPr>
            <w:tcW w:w="30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项目效益（30分）　</w:t>
            </w: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实施效益（</w:t>
            </w:r>
            <w:r>
              <w:rPr>
                <w:rStyle w:val="30"/>
                <w:lang w:bidi="ar"/>
              </w:rPr>
              <w:t>2</w:t>
            </w:r>
            <w:r>
              <w:rPr>
                <w:rStyle w:val="31"/>
                <w:rFonts w:hint="default"/>
                <w:lang w:bidi="ar"/>
              </w:rPr>
              <w:t>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社会效益（10分）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8"/>
                <w:szCs w:val="18"/>
              </w:rPr>
            </w:pPr>
            <w:r>
              <w:rPr>
                <w:rStyle w:val="31"/>
                <w:rFonts w:hint="default"/>
                <w:lang w:bidi="ar"/>
              </w:rPr>
              <w:t>通过项目的实施，把党和政府对劳模的关心落到实处，落实劳模健康体检、春节慰问等各项待遇，建立完善劳模生活保障机制与困难劳模长效帮扶机制，帮助困难劳模排忧解难，在全社会弘扬劳模精神。</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项目实施产生的社会效益影响显著</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8.1</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项目绩效成果缺少全面的分析及说明</w:t>
            </w:r>
          </w:p>
        </w:tc>
      </w:tr>
      <w:tr>
        <w:trPr>
          <w:trHeight w:val="87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项目实施产生的社会效益影响比较显著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6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项目实施产生的社会效益影响一般显著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06"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项目实施产生的社会效益影响不显著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81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可持续影响（10分）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8"/>
                <w:szCs w:val="18"/>
              </w:rPr>
            </w:pPr>
            <w:r>
              <w:rPr>
                <w:rStyle w:val="31"/>
                <w:rFonts w:hint="default"/>
                <w:lang w:bidi="ar"/>
              </w:rPr>
              <w:t>向全社会传达市委、市政府对劳模的关心关爱，弘扬劳模精神、劳动精神、工匠精神，营造崇尚劳模、学习劳模、争当劳模、关爱劳模的良好社会风尚。</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项目实施产生的可持续影响显著</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8.4</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可持续影响分析不充分</w:t>
            </w:r>
          </w:p>
        </w:tc>
      </w:tr>
      <w:tr>
        <w:trPr>
          <w:trHeight w:val="71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项目实施产生的可持续影响比较显著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6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项目实施产生的可持续影响一般显著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73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项目实施产生的可持续影响不显著</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0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满意度（10分）</w:t>
            </w:r>
          </w:p>
        </w:tc>
        <w:tc>
          <w:tcPr>
            <w:tcW w:w="7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服务对象满意度及其程度（10分）</w:t>
            </w:r>
          </w:p>
        </w:tc>
        <w:tc>
          <w:tcPr>
            <w:tcW w:w="8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社会公众或服务对象对项目实施效果的满意程度。社会公众或服务对象是指因该项目实施而受到影响的部门（单位）、群体或个人。一般采取社会调查的方式。</w:t>
            </w: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9.0</w:t>
            </w:r>
            <w:r>
              <w:rPr>
                <w:rStyle w:val="31"/>
                <w:rFonts w:hint="default"/>
                <w:lang w:bidi="ar"/>
              </w:rPr>
              <w:t>（含）</w:t>
            </w:r>
            <w:r>
              <w:rPr>
                <w:rStyle w:val="30"/>
                <w:lang w:bidi="ar"/>
              </w:rPr>
              <w:t>-10.0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服务对象非常满意</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7.8</w:t>
            </w:r>
          </w:p>
        </w:tc>
        <w:tc>
          <w:tcPr>
            <w:tcW w:w="4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lang w:bidi="ar"/>
              </w:rPr>
              <w:t>满意度调查不充分</w:t>
            </w:r>
          </w:p>
        </w:tc>
      </w:tr>
      <w:tr>
        <w:trPr>
          <w:trHeight w:val="5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7.5</w:t>
            </w:r>
            <w:r>
              <w:rPr>
                <w:rStyle w:val="31"/>
                <w:rFonts w:hint="default"/>
                <w:lang w:bidi="ar"/>
              </w:rPr>
              <w:t>（含）</w:t>
            </w:r>
            <w:r>
              <w:rPr>
                <w:rStyle w:val="30"/>
                <w:lang w:bidi="ar"/>
              </w:rPr>
              <w:t>-9.0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服务对象比较满意</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450"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6.0</w:t>
            </w:r>
            <w:r>
              <w:rPr>
                <w:rStyle w:val="31"/>
                <w:rFonts w:hint="default"/>
                <w:lang w:bidi="ar"/>
              </w:rPr>
              <w:t>（含）</w:t>
            </w:r>
            <w:r>
              <w:rPr>
                <w:rStyle w:val="30"/>
                <w:lang w:bidi="ar"/>
              </w:rPr>
              <w:t>-7.5</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服务对象态度一般</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637" w:hRule="atLeast"/>
        </w:trPr>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0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3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7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c>
          <w:tcPr>
            <w:tcW w:w="8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000000"/>
                <w:sz w:val="18"/>
                <w:szCs w:val="18"/>
              </w:rPr>
            </w:pPr>
          </w:p>
        </w:tc>
        <w:tc>
          <w:tcPr>
            <w:tcW w:w="74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rStyle w:val="30"/>
                <w:lang w:bidi="ar"/>
              </w:rPr>
              <w:t>0</w:t>
            </w:r>
            <w:r>
              <w:rPr>
                <w:rStyle w:val="31"/>
                <w:rFonts w:hint="default"/>
                <w:lang w:bidi="ar"/>
              </w:rPr>
              <w:t>（含）</w:t>
            </w:r>
            <w:r>
              <w:rPr>
                <w:rStyle w:val="30"/>
                <w:lang w:bidi="ar"/>
              </w:rPr>
              <w:t>-6.0</w:t>
            </w:r>
          </w:p>
        </w:tc>
        <w:tc>
          <w:tcPr>
            <w:tcW w:w="97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color w:val="000000"/>
                <w:sz w:val="18"/>
                <w:szCs w:val="18"/>
              </w:rPr>
            </w:pPr>
            <w:r>
              <w:rPr>
                <w:rStyle w:val="31"/>
                <w:rFonts w:hint="default"/>
                <w:lang w:bidi="ar"/>
              </w:rPr>
              <w:t>服务对象不满意</w:t>
            </w: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c>
          <w:tcPr>
            <w:tcW w:w="4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 w:val="18"/>
                <w:szCs w:val="18"/>
              </w:rPr>
            </w:pPr>
          </w:p>
        </w:tc>
      </w:tr>
      <w:tr>
        <w:trPr>
          <w:trHeight w:val="510" w:hRule="atLeast"/>
        </w:trPr>
        <w:tc>
          <w:tcPr>
            <w:tcW w:w="4251" w:type="pct"/>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18"/>
                <w:szCs w:val="18"/>
              </w:rPr>
            </w:pPr>
            <w:r>
              <w:rPr>
                <w:color w:val="000000"/>
                <w:kern w:val="0"/>
                <w:sz w:val="18"/>
                <w:szCs w:val="18"/>
                <w:lang w:bidi="ar"/>
              </w:rPr>
              <w:t>合计</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18"/>
                <w:szCs w:val="18"/>
              </w:rPr>
            </w:pPr>
            <w:r>
              <w:rPr>
                <w:color w:val="000000"/>
                <w:sz w:val="18"/>
                <w:szCs w:val="18"/>
              </w:rPr>
              <w:t>82.48</w:t>
            </w:r>
          </w:p>
        </w:tc>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18"/>
                <w:szCs w:val="18"/>
              </w:rPr>
            </w:pPr>
          </w:p>
        </w:tc>
      </w:tr>
    </w:tbl>
    <w:p>
      <w:pPr>
        <w:rPr>
          <w:rFonts w:asciiTheme="minorEastAsia" w:hAnsiTheme="minorEastAsia" w:cstheme="minorEastAsia"/>
        </w:rPr>
        <w:sectPr>
          <w:pgSz w:w="11910" w:h="16840"/>
          <w:pgMar w:top="822" w:right="540" w:bottom="280" w:left="540" w:header="720" w:footer="720" w:gutter="0"/>
          <w:cols w:space="720" w:num="1"/>
        </w:sectPr>
      </w:pPr>
    </w:p>
    <w:p>
      <w:pPr>
        <w:pStyle w:val="2"/>
        <w:jc w:val="both"/>
      </w:pPr>
      <w:bookmarkStart w:id="75" w:name="_GoBack"/>
      <w:bookmarkEnd w:id="75"/>
      <w:r>
        <w:drawing>
          <wp:inline distT="0" distB="0" distL="114300" distR="114300">
            <wp:extent cx="4958080" cy="8004810"/>
            <wp:effectExtent l="12700" t="12700" r="33020" b="34290"/>
            <wp:docPr id="5" name="图片 5" descr="151653633451_.pic_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1653633451_.pic_hd"/>
                    <pic:cNvPicPr>
                      <a:picLocks noChangeAspect="1"/>
                    </pic:cNvPicPr>
                  </pic:nvPicPr>
                  <pic:blipFill>
                    <a:blip r:embed="rId15">
                      <a:clrChange>
                        <a:clrFrom>
                          <a:srgbClr val="C0C2BF">
                            <a:alpha val="100000"/>
                          </a:srgbClr>
                        </a:clrFrom>
                        <a:clrTo>
                          <a:srgbClr val="C0C2BF">
                            <a:alpha val="100000"/>
                            <a:alpha val="0"/>
                          </a:srgbClr>
                        </a:clrTo>
                      </a:clrChange>
                      <a:lum bright="6000"/>
                    </a:blip>
                    <a:srcRect l="13739" t="8506" r="13739" b="11930"/>
                    <a:stretch>
                      <a:fillRect/>
                    </a:stretch>
                  </pic:blipFill>
                  <pic:spPr>
                    <a:xfrm>
                      <a:off x="0" y="0"/>
                      <a:ext cx="4958080" cy="8004810"/>
                    </a:xfrm>
                    <a:prstGeom prst="rect">
                      <a:avLst/>
                    </a:prstGeom>
                    <a:ln>
                      <a:solidFill>
                        <a:schemeClr val="bg1"/>
                      </a:solidFill>
                    </a:ln>
                  </pic:spPr>
                </pic:pic>
              </a:graphicData>
            </a:graphic>
          </wp:inline>
        </w:drawing>
      </w:r>
    </w:p>
    <w:sectPr>
      <w:pgSz w:w="11910" w:h="16840"/>
      <w:pgMar w:top="1440" w:right="1803" w:bottom="1440" w:left="1803"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embedRegular r:id="rId1" w:fontKey="{EF8E60B1-ED04-1F26-FE77-9062F6254232}"/>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Arial">
    <w:panose1 w:val="020B0604020202090204"/>
    <w:charset w:val="00"/>
    <w:family w:val="swiss"/>
    <w:pitch w:val="default"/>
    <w:sig w:usb0="E0000AFF" w:usb1="00007843" w:usb2="00000001" w:usb3="00000000" w:csb0="400001BF" w:csb1="DFF70000"/>
  </w:font>
  <w:font w:name="黑体">
    <w:altName w:val="汉仪中黑KW"/>
    <w:panose1 w:val="02010609060101010101"/>
    <w:charset w:val="86"/>
    <w:family w:val="modern"/>
    <w:pitch w:val="default"/>
    <w:sig w:usb0="00000000" w:usb1="00000000" w:usb2="00000016" w:usb3="00000000" w:csb0="00040001" w:csb1="00000000"/>
  </w:font>
  <w:font w:name="仿宋">
    <w:altName w:val="方正仿宋_GBK"/>
    <w:panose1 w:val="02010609060101010101"/>
    <w:charset w:val="86"/>
    <w:family w:val="modern"/>
    <w:pitch w:val="default"/>
    <w:sig w:usb0="00000000" w:usb1="00000000" w:usb2="00000016" w:usb3="00000000" w:csb0="00040001" w:csb1="00000000"/>
  </w:font>
  <w:font w:name="Verdana">
    <w:panose1 w:val="020B0804030504040204"/>
    <w:charset w:val="00"/>
    <w:family w:val="swiss"/>
    <w:pitch w:val="default"/>
    <w:sig w:usb0="A10006FF" w:usb1="4000205B" w:usb2="00000010"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17D306FC-B10E-90E9-FE77-90628F3F79A8}"/>
  </w:font>
  <w:font w:name="MT Extra">
    <w:altName w:val="Kingsoft Extra"/>
    <w:panose1 w:val="05050102010205020202"/>
    <w:charset w:val="02"/>
    <w:family w:val="roman"/>
    <w:pitch w:val="default"/>
    <w:sig w:usb0="00000000" w:usb1="00000000" w:usb2="00000000" w:usb3="00000000" w:csb0="80000000" w:csb1="00000000"/>
  </w:font>
  <w:font w:name="方正小标宋简体">
    <w:panose1 w:val="03000509000000000000"/>
    <w:charset w:val="86"/>
    <w:family w:val="auto"/>
    <w:pitch w:val="default"/>
    <w:sig w:usb0="00000001" w:usb1="080E0000" w:usb2="00000000" w:usb3="00000000" w:csb0="00040000" w:csb1="00000000"/>
    <w:embedRegular r:id="rId3" w:fontKey="{95F1ED92-A96B-F15A-FE77-906239ED7937}"/>
  </w:font>
  <w:font w:name="Leelawadee UI">
    <w:panose1 w:val="020B0502040204020203"/>
    <w:charset w:val="00"/>
    <w:family w:val="swiss"/>
    <w:pitch w:val="default"/>
    <w:sig w:usb0="83000003" w:usb1="00000000" w:usb2="00010000" w:usb3="00000001" w:csb0="00010101" w:csb1="00000000"/>
    <w:embedRegular r:id="rId4" w:fontKey="{3588223D-4A75-F967-FE77-906265D39300}"/>
  </w:font>
  <w:font w:name="方正小标宋_GBK">
    <w:panose1 w:val="03000509000000000000"/>
    <w:charset w:val="86"/>
    <w:family w:val="script"/>
    <w:pitch w:val="default"/>
    <w:sig w:usb0="00000001" w:usb1="080E0000" w:usb2="00000000" w:usb3="00000000" w:csb0="00040000" w:csb1="00000000"/>
    <w:embedRegular r:id="rId5" w:fontKey="{E33202BF-247C-3E41-FE77-9062B02955F2}"/>
  </w:font>
  <w:font w:name="楷体">
    <w:altName w:val="汉仪楷体KW"/>
    <w:panose1 w:val="02010609060101010101"/>
    <w:charset w:val="86"/>
    <w:family w:val="modern"/>
    <w:pitch w:val="default"/>
    <w:sig w:usb0="00000000" w:usb1="00000000" w:usb2="00000016" w:usb3="00000000" w:csb0="00040001" w:csb1="00000000"/>
  </w:font>
  <w:font w:name="楷体_GB2312">
    <w:panose1 w:val="02010609030101010101"/>
    <w:charset w:val="86"/>
    <w:family w:val="modern"/>
    <w:pitch w:val="default"/>
    <w:sig w:usb0="00000001" w:usb1="080E0000" w:usb2="00000000" w:usb3="00000000" w:csb0="00040000" w:csb1="00000000"/>
    <w:embedRegular r:id="rId6" w:fontKey="{154E65F4-1933-61AC-FE77-9062FA10115E}"/>
  </w:font>
  <w:font w:name="Times New Roman Regular">
    <w:panose1 w:val="02020503050405090304"/>
    <w:charset w:val="00"/>
    <w:family w:val="auto"/>
    <w:pitch w:val="default"/>
    <w:sig w:usb0="E0000AFF" w:usb1="00007843" w:usb2="00000001" w:usb3="00000000" w:csb0="400001BF" w:csb1="DFF70000"/>
    <w:embedRegular r:id="rId7" w:fontKey="{B508B6EB-92FC-FAF6-FE77-90629D59DA2D}"/>
  </w:font>
  <w:font w:name="Calibri Light">
    <w:altName w:val="Helvetica Neue"/>
    <w:panose1 w:val="020F0302020204030204"/>
    <w:charset w:val="00"/>
    <w:family w:val="swiss"/>
    <w:pitch w:val="default"/>
    <w:sig w:usb0="00000000" w:usb1="00000000" w:usb2="00000009" w:usb3="00000000" w:csb0="000001FF" w:csb1="00000000"/>
  </w:font>
  <w:font w:name="汉仪中黑KW">
    <w:panose1 w:val="00020600040101010101"/>
    <w:charset w:val="86"/>
    <w:family w:val="auto"/>
    <w:pitch w:val="default"/>
    <w:sig w:usb0="A00002BF" w:usb1="18EF7CFA" w:usb2="00000016" w:usb3="00000000" w:csb0="00040000" w:csb1="00000000"/>
  </w:font>
  <w:font w:name="汉仪楷体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宋体-简">
    <w:panose1 w:val="02010800040101010101"/>
    <w:charset w:val="86"/>
    <w:family w:val="auto"/>
    <w:pitch w:val="default"/>
    <w:sig w:usb0="00000001" w:usb1="080F0000" w:usb2="00000000" w:usb3="00000000" w:csb0="00040000" w:csb1="00000000"/>
  </w:font>
  <w:font w:name="Kingsoft Extra">
    <w:panose1 w:val="05050102010205020202"/>
    <w:charset w:val="00"/>
    <w:family w:val="auto"/>
    <w:pitch w:val="default"/>
    <w:sig w:usb0="00000000" w:usb1="10000000" w:usb2="00000000" w:usb3="00000000" w:csb0="00000001" w:csb1="00000000"/>
  </w:font>
  <w:font w:name="Arial Unicode MS">
    <w:panose1 w:val="020B0604020202020204"/>
    <w:charset w:val="86"/>
    <w:family w:val="auto"/>
    <w:pitch w:val="default"/>
    <w:sig w:usb0="FFFFFFFF" w:usb1="E9FFFFFF" w:usb2="0000003F" w:usb3="00000000" w:csb0="603F01FF" w:csb1="FFFF0000"/>
  </w:font>
  <w:font w:name="MT Extra">
    <w:altName w:val="Kingsoft Extra"/>
    <w:panose1 w:val="00000000000000000000"/>
    <w:charset w:val="00"/>
    <w:family w:val="decorative"/>
    <w:pitch w:val="default"/>
    <w:sig w:usb0="00000000" w:usb1="00000000" w:usb2="00000000" w:usb3="00000000" w:csb0="0000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10000000" w:usb2="00000000" w:usb3="00000000" w:csb0="00000001" w:csb1="00000000"/>
  </w:font>
  <w:font w:name="Times New Roman Bold">
    <w:panose1 w:val="02020503050405090304"/>
    <w:charset w:val="00"/>
    <w:family w:val="auto"/>
    <w:pitch w:val="default"/>
    <w:sig w:usb0="E0000AFF" w:usb1="00007843" w:usb2="00000001" w:usb3="00000000" w:csb0="400001BF" w:csb1="DFF70000"/>
    <w:embedRegular r:id="rId8" w:fontKey="{9D1EF856-D094-FD4D-FE77-90622EACCDE5}"/>
  </w:font>
  <w:font w:name="Wingdings 2">
    <w:panose1 w:val="05020102010507070707"/>
    <w:charset w:val="00"/>
    <w:family w:val="auto"/>
    <w:pitch w:val="default"/>
    <w:sig w:usb0="00000000" w:usb1="00000000" w:usb2="00000000" w:usb3="00000000" w:csb0="80000000" w:csb1="00000000"/>
    <w:embedRegular r:id="rId9" w:fontKey="{39007008-FD2A-4B8C-FE77-90628D74688C}"/>
  </w:font>
  <w:font w:name="黑体">
    <w:altName w:val="汉仪中黑KW"/>
    <w:panose1 w:val="02010609060101010101"/>
    <w:charset w:val="00"/>
    <w:family w:val="auto"/>
    <w:pitch w:val="default"/>
    <w:sig w:usb0="00000000" w:usb1="00000000" w:usb2="00000016" w:usb3="00000000" w:csb0="00040001" w:csb1="00000000"/>
  </w:font>
  <w:font w:name="仿宋">
    <w:altName w:val="方正仿宋_GBK"/>
    <w:panose1 w:val="02010609060101010101"/>
    <w:charset w:val="00"/>
    <w:family w:val="modern"/>
    <w:pitch w:val="default"/>
    <w:sig w:usb0="00000000" w:usb1="00000000" w:usb2="00000016" w:usb3="00000000" w:csb0="00040001" w:csb1="00000000"/>
  </w:font>
  <w:font w:name="楷体">
    <w:altName w:val="汉仪楷体KW"/>
    <w:panose1 w:val="02010609060101010101"/>
    <w:charset w:val="00"/>
    <w:family w:val="modern"/>
    <w:pitch w:val="default"/>
    <w:sig w:usb0="00000000" w:usb1="00000000"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sz w:val="1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  \* MERGEFORMAT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w:t>
                          </w:r>
                          <w:r>
                            <w:rPr>
                              <w:rFonts w:hint="default" w:ascii="Times New Roman Regular" w:hAnsi="Times New Roman Regular" w:cs="Times New Roman Regular"/>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MDe54oUAgAAEwQAAA4AAAAAAAAAAQAgAAAANQEAAGRycy9lMm9Eb2MueG1sUEsFBgAAAAAGAAYA&#10;WQEAALsFAAAAAA==&#10;">
              <v:fill on="f" focussize="0,0"/>
              <v:stroke on="f" weight="0.5pt"/>
              <v:imagedata o:title=""/>
              <o:lock v:ext="edit" aspectratio="f"/>
              <v:textbox inset="0mm,0mm,0mm,0mm" style="mso-fit-shape-to-text:t;">
                <w:txbxContent>
                  <w:p>
                    <w:pPr>
                      <w:snapToGrid w:val="0"/>
                      <w:rPr>
                        <w:sz w:val="1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  \* MERGEFORMAT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w:t>
                    </w:r>
                    <w:r>
                      <w:rPr>
                        <w:rFonts w:hint="default" w:ascii="Times New Roman Regular" w:hAnsi="Times New Roman Regular" w:cs="Times New Roman Regular"/>
                        <w:sz w:val="28"/>
                        <w:szCs w:val="2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pStyle w:val="13"/>
      </w:pPr>
      <w:r>
        <w:rPr>
          <w:rStyle w:val="18"/>
        </w:rPr>
        <w:footnoteRef/>
      </w:r>
      <w:r>
        <w:t xml:space="preserve"> </w:t>
      </w:r>
      <w:r>
        <w:rPr>
          <w:rFonts w:hint="eastAsia"/>
          <w:lang w:eastAsia="zh-Hans"/>
        </w:rPr>
        <w:t>该数为四舍五入数据，实际金额为</w:t>
      </w:r>
      <w:r>
        <w:rPr>
          <w:lang w:eastAsia="zh-Hans"/>
        </w:rPr>
        <w:t>2580.3688</w:t>
      </w:r>
      <w:r>
        <w:rPr>
          <w:rFonts w:hint="eastAsia"/>
          <w:lang w:eastAsia="zh-Hans"/>
        </w:rPr>
        <w:t>万元。</w:t>
      </w:r>
    </w:p>
  </w:footnote>
  <w:footnote w:id="1">
    <w:p>
      <w:pPr>
        <w:pStyle w:val="13"/>
      </w:pPr>
      <w:r>
        <w:rPr>
          <w:rStyle w:val="18"/>
        </w:rPr>
        <w:footnoteRef/>
      </w:r>
      <w:r>
        <w:t xml:space="preserve"> </w:t>
      </w:r>
      <w:r>
        <w:rPr>
          <w:rFonts w:hint="eastAsia"/>
          <w:lang w:eastAsia="zh-Hans"/>
        </w:rPr>
        <w:t>该数为四舍五入数据，实际金额为</w:t>
      </w:r>
      <w:r>
        <w:rPr>
          <w:lang w:eastAsia="zh-Hans"/>
        </w:rPr>
        <w:t>0.1262</w:t>
      </w:r>
      <w:r>
        <w:rPr>
          <w:rFonts w:hint="eastAsia"/>
          <w:lang w:eastAsia="zh-Hans"/>
        </w:rPr>
        <w:t>万元。</w:t>
      </w:r>
    </w:p>
    <w:p>
      <w:pPr>
        <w:pStyle w:val="13"/>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97D418"/>
    <w:multiLevelType w:val="singleLevel"/>
    <w:tmpl w:val="3197D418"/>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NjQxYmZmN2ZkODIxYWNiNTEzMzQyMTZmNzQ1MmMifQ=="/>
  </w:docVars>
  <w:rsids>
    <w:rsidRoot w:val="00172A27"/>
    <w:rsid w:val="000816F3"/>
    <w:rsid w:val="00172A27"/>
    <w:rsid w:val="00184C52"/>
    <w:rsid w:val="00202D1E"/>
    <w:rsid w:val="00273E1D"/>
    <w:rsid w:val="00285E3D"/>
    <w:rsid w:val="002B2DE7"/>
    <w:rsid w:val="00305FEB"/>
    <w:rsid w:val="00322648"/>
    <w:rsid w:val="004554B3"/>
    <w:rsid w:val="004A51A9"/>
    <w:rsid w:val="004D3FE0"/>
    <w:rsid w:val="00526D5F"/>
    <w:rsid w:val="005F6CFD"/>
    <w:rsid w:val="00787E03"/>
    <w:rsid w:val="0079789B"/>
    <w:rsid w:val="007C670B"/>
    <w:rsid w:val="008356D9"/>
    <w:rsid w:val="00906ADA"/>
    <w:rsid w:val="00922FE6"/>
    <w:rsid w:val="009907ED"/>
    <w:rsid w:val="00B74EB4"/>
    <w:rsid w:val="00CA6641"/>
    <w:rsid w:val="00E728DD"/>
    <w:rsid w:val="00E95D52"/>
    <w:rsid w:val="00EC2052"/>
    <w:rsid w:val="00F244CF"/>
    <w:rsid w:val="00F3672D"/>
    <w:rsid w:val="019C12E3"/>
    <w:rsid w:val="0387111D"/>
    <w:rsid w:val="05EF50F5"/>
    <w:rsid w:val="0BFF9D31"/>
    <w:rsid w:val="0E5D0654"/>
    <w:rsid w:val="0E931DBB"/>
    <w:rsid w:val="0EBF3F8C"/>
    <w:rsid w:val="0F303F41"/>
    <w:rsid w:val="0FC6C831"/>
    <w:rsid w:val="12CA5130"/>
    <w:rsid w:val="13AF7D9A"/>
    <w:rsid w:val="14271E40"/>
    <w:rsid w:val="15855637"/>
    <w:rsid w:val="17D8043A"/>
    <w:rsid w:val="188F2DD7"/>
    <w:rsid w:val="1B3B4C30"/>
    <w:rsid w:val="1BCD3438"/>
    <w:rsid w:val="1D5FBEAC"/>
    <w:rsid w:val="1D72346E"/>
    <w:rsid w:val="1E54B020"/>
    <w:rsid w:val="1F55634E"/>
    <w:rsid w:val="1FB513D9"/>
    <w:rsid w:val="1FBDC93E"/>
    <w:rsid w:val="1FDE4441"/>
    <w:rsid w:val="1FDF6CFC"/>
    <w:rsid w:val="205E3070"/>
    <w:rsid w:val="23D7165C"/>
    <w:rsid w:val="250321FC"/>
    <w:rsid w:val="282121A5"/>
    <w:rsid w:val="2BCE1C61"/>
    <w:rsid w:val="2D6771AE"/>
    <w:rsid w:val="2F3E54C4"/>
    <w:rsid w:val="2F6A5F8B"/>
    <w:rsid w:val="2F9D4399"/>
    <w:rsid w:val="2FF7E85C"/>
    <w:rsid w:val="30674A69"/>
    <w:rsid w:val="313712C2"/>
    <w:rsid w:val="31632D26"/>
    <w:rsid w:val="31D61B92"/>
    <w:rsid w:val="320C498E"/>
    <w:rsid w:val="32C115E8"/>
    <w:rsid w:val="33002F08"/>
    <w:rsid w:val="33BFD765"/>
    <w:rsid w:val="343C2094"/>
    <w:rsid w:val="34DB04FF"/>
    <w:rsid w:val="35DF7E03"/>
    <w:rsid w:val="35EFFA65"/>
    <w:rsid w:val="35FB8498"/>
    <w:rsid w:val="362C68A9"/>
    <w:rsid w:val="37FFB6E0"/>
    <w:rsid w:val="38923C95"/>
    <w:rsid w:val="391A1377"/>
    <w:rsid w:val="3AFFA064"/>
    <w:rsid w:val="3CFF3CE2"/>
    <w:rsid w:val="3EB705FD"/>
    <w:rsid w:val="3F0F295E"/>
    <w:rsid w:val="3F2D0AF0"/>
    <w:rsid w:val="3F6F3DF6"/>
    <w:rsid w:val="3FBF6DD6"/>
    <w:rsid w:val="3FE3003F"/>
    <w:rsid w:val="3FED3049"/>
    <w:rsid w:val="3FF0D6C1"/>
    <w:rsid w:val="3FF7CF20"/>
    <w:rsid w:val="3FFF58E1"/>
    <w:rsid w:val="400E0A21"/>
    <w:rsid w:val="430C19C3"/>
    <w:rsid w:val="433A685F"/>
    <w:rsid w:val="4A86669F"/>
    <w:rsid w:val="4B1FFBF0"/>
    <w:rsid w:val="4BFF6D55"/>
    <w:rsid w:val="4E69077C"/>
    <w:rsid w:val="4FBF05AF"/>
    <w:rsid w:val="4FE3B30D"/>
    <w:rsid w:val="4FF296A4"/>
    <w:rsid w:val="4FFFBA94"/>
    <w:rsid w:val="51DF215E"/>
    <w:rsid w:val="52B53A7E"/>
    <w:rsid w:val="53FF319D"/>
    <w:rsid w:val="57D47B8F"/>
    <w:rsid w:val="57FCFD72"/>
    <w:rsid w:val="58A22B34"/>
    <w:rsid w:val="5940021C"/>
    <w:rsid w:val="5A5A0898"/>
    <w:rsid w:val="5BBE1220"/>
    <w:rsid w:val="5BF7F204"/>
    <w:rsid w:val="5D279BA8"/>
    <w:rsid w:val="5DDFC456"/>
    <w:rsid w:val="5DFCD1FD"/>
    <w:rsid w:val="5F57D57A"/>
    <w:rsid w:val="5F7A38D7"/>
    <w:rsid w:val="5FA42B10"/>
    <w:rsid w:val="5FAD2F40"/>
    <w:rsid w:val="5FB6213D"/>
    <w:rsid w:val="5FDBE0DF"/>
    <w:rsid w:val="63B74AAC"/>
    <w:rsid w:val="64955D88"/>
    <w:rsid w:val="65FFCCEF"/>
    <w:rsid w:val="66380A86"/>
    <w:rsid w:val="66D1D196"/>
    <w:rsid w:val="67075ABB"/>
    <w:rsid w:val="6775830F"/>
    <w:rsid w:val="677F60F4"/>
    <w:rsid w:val="67953EBF"/>
    <w:rsid w:val="67B893A4"/>
    <w:rsid w:val="67E7C3BE"/>
    <w:rsid w:val="68F36BE7"/>
    <w:rsid w:val="6A7B33B3"/>
    <w:rsid w:val="6B4D2849"/>
    <w:rsid w:val="6B6FAF07"/>
    <w:rsid w:val="6B9633E1"/>
    <w:rsid w:val="6B9FCDCB"/>
    <w:rsid w:val="6BFD2B69"/>
    <w:rsid w:val="6BFFFBA4"/>
    <w:rsid w:val="6CB0376E"/>
    <w:rsid w:val="6CFF1189"/>
    <w:rsid w:val="6DD429AB"/>
    <w:rsid w:val="6DEFA631"/>
    <w:rsid w:val="6E5F5C69"/>
    <w:rsid w:val="6FAFB0A1"/>
    <w:rsid w:val="6FB7F75D"/>
    <w:rsid w:val="6FBE3C0C"/>
    <w:rsid w:val="6FDB93A1"/>
    <w:rsid w:val="70A35C5C"/>
    <w:rsid w:val="70FC5FDA"/>
    <w:rsid w:val="71114FF0"/>
    <w:rsid w:val="717FCC4B"/>
    <w:rsid w:val="733B2796"/>
    <w:rsid w:val="747E35AF"/>
    <w:rsid w:val="753E1951"/>
    <w:rsid w:val="75CFEC1C"/>
    <w:rsid w:val="75EFADFA"/>
    <w:rsid w:val="76FD0C43"/>
    <w:rsid w:val="76FE81C8"/>
    <w:rsid w:val="77F7F194"/>
    <w:rsid w:val="77FFC19C"/>
    <w:rsid w:val="78FD5CBF"/>
    <w:rsid w:val="78FDDEE0"/>
    <w:rsid w:val="79B5B8CB"/>
    <w:rsid w:val="79D7FDD3"/>
    <w:rsid w:val="7A5F17A0"/>
    <w:rsid w:val="7ADCC976"/>
    <w:rsid w:val="7B6FFC70"/>
    <w:rsid w:val="7BD711BB"/>
    <w:rsid w:val="7BF3DA91"/>
    <w:rsid w:val="7BFBEEDF"/>
    <w:rsid w:val="7BFF6106"/>
    <w:rsid w:val="7D35F821"/>
    <w:rsid w:val="7DB3E74C"/>
    <w:rsid w:val="7DDB88FB"/>
    <w:rsid w:val="7DE2DED1"/>
    <w:rsid w:val="7DFA1A5B"/>
    <w:rsid w:val="7E6406E8"/>
    <w:rsid w:val="7E739940"/>
    <w:rsid w:val="7E7546F8"/>
    <w:rsid w:val="7E9FCB8F"/>
    <w:rsid w:val="7EB60E66"/>
    <w:rsid w:val="7ECFD620"/>
    <w:rsid w:val="7EDD96AA"/>
    <w:rsid w:val="7EF7A2A5"/>
    <w:rsid w:val="7F1FEDFD"/>
    <w:rsid w:val="7F5EF7A4"/>
    <w:rsid w:val="7F793BD8"/>
    <w:rsid w:val="7F7F2AE5"/>
    <w:rsid w:val="7F87E7E8"/>
    <w:rsid w:val="7FB32D6D"/>
    <w:rsid w:val="7FBB54CD"/>
    <w:rsid w:val="7FBF4E92"/>
    <w:rsid w:val="7FCD6557"/>
    <w:rsid w:val="7FD280AE"/>
    <w:rsid w:val="7FDD83F1"/>
    <w:rsid w:val="7FED080F"/>
    <w:rsid w:val="7FEDA29E"/>
    <w:rsid w:val="7FF3190A"/>
    <w:rsid w:val="7FF889CE"/>
    <w:rsid w:val="96F39165"/>
    <w:rsid w:val="97EB2EC9"/>
    <w:rsid w:val="97F731AA"/>
    <w:rsid w:val="9D6FD5D5"/>
    <w:rsid w:val="9E724C1B"/>
    <w:rsid w:val="9EFD7A27"/>
    <w:rsid w:val="9F4FBD53"/>
    <w:rsid w:val="9F7FF3CB"/>
    <w:rsid w:val="9FBEE759"/>
    <w:rsid w:val="9FBF748C"/>
    <w:rsid w:val="9FECE977"/>
    <w:rsid w:val="9FEFB041"/>
    <w:rsid w:val="9FFEA777"/>
    <w:rsid w:val="BBFEEEFF"/>
    <w:rsid w:val="BD3FCCF4"/>
    <w:rsid w:val="BDD914FF"/>
    <w:rsid w:val="BDF38DB9"/>
    <w:rsid w:val="BEDF6B7C"/>
    <w:rsid w:val="BF573667"/>
    <w:rsid w:val="BF77A647"/>
    <w:rsid w:val="BFBD96F1"/>
    <w:rsid w:val="BFBDCAF9"/>
    <w:rsid w:val="BFBF2993"/>
    <w:rsid w:val="BFE429A3"/>
    <w:rsid w:val="BFF74D15"/>
    <w:rsid w:val="C3EFB849"/>
    <w:rsid w:val="C98C61A8"/>
    <w:rsid w:val="CEEFFE7D"/>
    <w:rsid w:val="CF952D8E"/>
    <w:rsid w:val="CFE73B09"/>
    <w:rsid w:val="D5CFFFCC"/>
    <w:rsid w:val="D5FD05A6"/>
    <w:rsid w:val="D76F8DB9"/>
    <w:rsid w:val="D7ED78B5"/>
    <w:rsid w:val="D7F69C2B"/>
    <w:rsid w:val="D7F77C5D"/>
    <w:rsid w:val="D7FF26F9"/>
    <w:rsid w:val="DB7F006F"/>
    <w:rsid w:val="DBB67C7C"/>
    <w:rsid w:val="DDC9E6B2"/>
    <w:rsid w:val="DDDCBFEB"/>
    <w:rsid w:val="DDFF9E5B"/>
    <w:rsid w:val="DEDFD192"/>
    <w:rsid w:val="DFA601A0"/>
    <w:rsid w:val="DFB335B0"/>
    <w:rsid w:val="DFBBE4DE"/>
    <w:rsid w:val="DFBF95A6"/>
    <w:rsid w:val="DFD3447E"/>
    <w:rsid w:val="DFE6C742"/>
    <w:rsid w:val="DFF9F439"/>
    <w:rsid w:val="DFFB90E8"/>
    <w:rsid w:val="DFFC3F5B"/>
    <w:rsid w:val="DFFFB2F8"/>
    <w:rsid w:val="E17E65F0"/>
    <w:rsid w:val="E8FF8389"/>
    <w:rsid w:val="EAFFEB0A"/>
    <w:rsid w:val="ED6F526A"/>
    <w:rsid w:val="ED776888"/>
    <w:rsid w:val="EEFE04DE"/>
    <w:rsid w:val="EF7F170F"/>
    <w:rsid w:val="EFBD258F"/>
    <w:rsid w:val="EFDCEC21"/>
    <w:rsid w:val="EFDF2B28"/>
    <w:rsid w:val="EFF3299C"/>
    <w:rsid w:val="EFF3B733"/>
    <w:rsid w:val="F0EDC28D"/>
    <w:rsid w:val="F41BEED1"/>
    <w:rsid w:val="F5BF8583"/>
    <w:rsid w:val="F67B525B"/>
    <w:rsid w:val="F6DD50C9"/>
    <w:rsid w:val="F6F91004"/>
    <w:rsid w:val="F77DF29A"/>
    <w:rsid w:val="F7D70D72"/>
    <w:rsid w:val="F7D93717"/>
    <w:rsid w:val="F8FB2DA5"/>
    <w:rsid w:val="F9FD5002"/>
    <w:rsid w:val="FABC24E7"/>
    <w:rsid w:val="FABD5BD8"/>
    <w:rsid w:val="FB7B155D"/>
    <w:rsid w:val="FBF2A7D1"/>
    <w:rsid w:val="FBF5760B"/>
    <w:rsid w:val="FBFF3EEF"/>
    <w:rsid w:val="FBFF85E5"/>
    <w:rsid w:val="FCBD5B50"/>
    <w:rsid w:val="FCFA01B7"/>
    <w:rsid w:val="FD77E25B"/>
    <w:rsid w:val="FDE53288"/>
    <w:rsid w:val="FDEB87E9"/>
    <w:rsid w:val="FDFDDD48"/>
    <w:rsid w:val="FDFEB95E"/>
    <w:rsid w:val="FDFF2234"/>
    <w:rsid w:val="FDFFDA15"/>
    <w:rsid w:val="FE6F85CD"/>
    <w:rsid w:val="FEFB4C3E"/>
    <w:rsid w:val="FEFE1702"/>
    <w:rsid w:val="FF3FA880"/>
    <w:rsid w:val="FF462379"/>
    <w:rsid w:val="FF7B6871"/>
    <w:rsid w:val="FF8F83E4"/>
    <w:rsid w:val="FFBFAAFD"/>
    <w:rsid w:val="FFCFD6F1"/>
    <w:rsid w:val="FFED1715"/>
    <w:rsid w:val="FFED4276"/>
    <w:rsid w:val="FFEF1409"/>
    <w:rsid w:val="FFF4FE10"/>
    <w:rsid w:val="FFFBA7C3"/>
    <w:rsid w:val="FFFF7F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15">
    <w:name w:val="Default Paragraph Font"/>
    <w:unhideWhenUsed/>
    <w:qFormat/>
    <w:uiPriority w:val="1"/>
  </w:style>
  <w:style w:type="table" w:default="1" w:styleId="19">
    <w:name w:val="Normal Table"/>
    <w:unhideWhenUsed/>
    <w:qFormat/>
    <w:uiPriority w:val="99"/>
    <w:tblPr>
      <w:tblCellMar>
        <w:top w:w="0" w:type="dxa"/>
        <w:left w:w="108" w:type="dxa"/>
        <w:bottom w:w="0" w:type="dxa"/>
        <w:right w:w="108" w:type="dxa"/>
      </w:tblCellMar>
    </w:tblPr>
  </w:style>
  <w:style w:type="paragraph" w:styleId="2">
    <w:name w:val="Body Text First Indent"/>
    <w:basedOn w:val="3"/>
    <w:qFormat/>
    <w:uiPriority w:val="0"/>
    <w:pPr>
      <w:ind w:firstLine="420" w:firstLineChars="100"/>
    </w:pPr>
  </w:style>
  <w:style w:type="paragraph" w:styleId="3">
    <w:name w:val="Body Text"/>
    <w:basedOn w:val="1"/>
    <w:qFormat/>
    <w:uiPriority w:val="1"/>
    <w:pPr>
      <w:spacing w:before="48"/>
      <w:ind w:left="111"/>
    </w:pPr>
    <w:rPr>
      <w:rFonts w:ascii="仿宋" w:hAnsi="仿宋" w:eastAsia="仿宋"/>
      <w:sz w:val="32"/>
      <w:szCs w:val="32"/>
    </w:rPr>
  </w:style>
  <w:style w:type="paragraph" w:styleId="5">
    <w:name w:val="annotation subject"/>
    <w:basedOn w:val="6"/>
    <w:next w:val="6"/>
    <w:link w:val="34"/>
    <w:qFormat/>
    <w:uiPriority w:val="0"/>
    <w:rPr>
      <w:b/>
      <w:bCs/>
    </w:rPr>
  </w:style>
  <w:style w:type="paragraph" w:styleId="6">
    <w:name w:val="annotation text"/>
    <w:basedOn w:val="1"/>
    <w:link w:val="33"/>
    <w:qFormat/>
    <w:uiPriority w:val="0"/>
    <w:pPr>
      <w:jc w:val="left"/>
    </w:pPr>
  </w:style>
  <w:style w:type="paragraph" w:styleId="7">
    <w:name w:val="Normal Indent"/>
    <w:basedOn w:val="1"/>
    <w:qFormat/>
    <w:uiPriority w:val="0"/>
    <w:pPr>
      <w:ind w:firstLine="420"/>
    </w:pPr>
    <w:rPr>
      <w:szCs w:val="21"/>
    </w:rPr>
  </w:style>
  <w:style w:type="paragraph" w:styleId="8">
    <w:name w:val="Body Text Indent 2"/>
    <w:basedOn w:val="1"/>
    <w:qFormat/>
    <w:uiPriority w:val="0"/>
    <w:pPr>
      <w:spacing w:after="120" w:line="480" w:lineRule="auto"/>
      <w:ind w:left="420" w:leftChars="200"/>
    </w:pPr>
    <w:rPr>
      <w:szCs w:val="21"/>
    </w:rPr>
  </w:style>
  <w:style w:type="paragraph" w:styleId="9">
    <w:name w:val="Balloon Text"/>
    <w:basedOn w:val="1"/>
    <w:link w:val="36"/>
    <w:qFormat/>
    <w:uiPriority w:val="0"/>
    <w:rPr>
      <w:sz w:val="18"/>
      <w:szCs w:val="18"/>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2">
    <w:name w:val="toc 1"/>
    <w:basedOn w:val="1"/>
    <w:next w:val="1"/>
    <w:qFormat/>
    <w:uiPriority w:val="0"/>
  </w:style>
  <w:style w:type="paragraph" w:styleId="13">
    <w:name w:val="footnote text"/>
    <w:basedOn w:val="1"/>
    <w:qFormat/>
    <w:uiPriority w:val="0"/>
    <w:pPr>
      <w:snapToGrid w:val="0"/>
      <w:jc w:val="left"/>
    </w:pPr>
    <w:rPr>
      <w:sz w:val="18"/>
    </w:rPr>
  </w:style>
  <w:style w:type="paragraph" w:styleId="14">
    <w:name w:val="toc 2"/>
    <w:basedOn w:val="1"/>
    <w:next w:val="1"/>
    <w:qFormat/>
    <w:uiPriority w:val="0"/>
    <w:pPr>
      <w:ind w:left="420" w:leftChars="200"/>
    </w:pPr>
  </w:style>
  <w:style w:type="character" w:styleId="16">
    <w:name w:val="Hyperlink"/>
    <w:qFormat/>
    <w:uiPriority w:val="0"/>
    <w:rPr>
      <w:color w:val="0000FF"/>
      <w:u w:val="single"/>
    </w:rPr>
  </w:style>
  <w:style w:type="character" w:styleId="17">
    <w:name w:val="annotation reference"/>
    <w:basedOn w:val="15"/>
    <w:qFormat/>
    <w:uiPriority w:val="0"/>
    <w:rPr>
      <w:sz w:val="21"/>
      <w:szCs w:val="21"/>
    </w:rPr>
  </w:style>
  <w:style w:type="character" w:styleId="18">
    <w:name w:val="footnote reference"/>
    <w:basedOn w:val="15"/>
    <w:qFormat/>
    <w:uiPriority w:val="0"/>
    <w:rPr>
      <w:vertAlign w:val="superscript"/>
    </w:rPr>
  </w:style>
  <w:style w:type="table" w:styleId="20">
    <w:name w:val="Table Grid"/>
    <w:basedOn w:val="1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1">
    <w:name w:val="font21"/>
    <w:basedOn w:val="15"/>
    <w:qFormat/>
    <w:uiPriority w:val="0"/>
    <w:rPr>
      <w:rFonts w:hint="eastAsia" w:ascii="宋体" w:hAnsi="宋体" w:eastAsia="宋体" w:cs="宋体"/>
      <w:b/>
      <w:color w:val="000000"/>
      <w:sz w:val="18"/>
      <w:szCs w:val="18"/>
      <w:u w:val="none"/>
    </w:rPr>
  </w:style>
  <w:style w:type="character" w:customStyle="1" w:styleId="22">
    <w:name w:val="font11"/>
    <w:basedOn w:val="15"/>
    <w:qFormat/>
    <w:uiPriority w:val="0"/>
    <w:rPr>
      <w:rFonts w:hint="eastAsia" w:ascii="宋体" w:hAnsi="宋体" w:eastAsia="宋体" w:cs="宋体"/>
      <w:color w:val="000000"/>
      <w:sz w:val="18"/>
      <w:szCs w:val="18"/>
      <w:u w:val="none"/>
    </w:rPr>
  </w:style>
  <w:style w:type="paragraph" w:customStyle="1" w:styleId="23">
    <w:name w:val="表格"/>
    <w:basedOn w:val="1"/>
    <w:qFormat/>
    <w:uiPriority w:val="0"/>
    <w:pPr>
      <w:jc w:val="center"/>
    </w:pPr>
    <w:rPr>
      <w:rFonts w:ascii="Verdana" w:hAnsi="Verdana" w:eastAsia="仿宋_GB2312"/>
      <w:sz w:val="24"/>
      <w:lang w:eastAsia="en-US"/>
    </w:rPr>
  </w:style>
  <w:style w:type="paragraph" w:customStyle="1" w:styleId="24">
    <w:name w:val="Default"/>
    <w:unhideWhenUsed/>
    <w:qFormat/>
    <w:uiPriority w:val="99"/>
    <w:pPr>
      <w:widowControl w:val="0"/>
      <w:autoSpaceDE w:val="0"/>
      <w:autoSpaceDN w:val="0"/>
      <w:adjustRightInd w:val="0"/>
    </w:pPr>
    <w:rPr>
      <w:rFonts w:hint="eastAsia" w:ascii="仿宋" w:hAnsi="仿宋" w:eastAsia="仿宋" w:cs="MT Extra"/>
      <w:color w:val="000000"/>
      <w:sz w:val="24"/>
      <w:lang w:val="en-US" w:eastAsia="zh-CN" w:bidi="ar-SA"/>
    </w:rPr>
  </w:style>
  <w:style w:type="paragraph" w:customStyle="1" w:styleId="25">
    <w:name w:val="Pa2"/>
    <w:basedOn w:val="24"/>
    <w:next w:val="24"/>
    <w:unhideWhenUsed/>
    <w:qFormat/>
    <w:uiPriority w:val="99"/>
    <w:pPr>
      <w:spacing w:line="241" w:lineRule="atLeast"/>
    </w:pPr>
    <w:rPr>
      <w:rFonts w:hint="default"/>
    </w:rPr>
  </w:style>
  <w:style w:type="character" w:customStyle="1" w:styleId="26">
    <w:name w:val="A0"/>
    <w:unhideWhenUsed/>
    <w:qFormat/>
    <w:uiPriority w:val="99"/>
    <w:rPr>
      <w:rFonts w:hint="eastAsia"/>
      <w:color w:val="221E1F"/>
      <w:sz w:val="30"/>
    </w:rPr>
  </w:style>
  <w:style w:type="paragraph" w:customStyle="1" w:styleId="27">
    <w:name w:val="列出段落1"/>
    <w:basedOn w:val="1"/>
    <w:qFormat/>
    <w:uiPriority w:val="34"/>
    <w:pPr>
      <w:ind w:firstLine="420"/>
    </w:pPr>
  </w:style>
  <w:style w:type="paragraph" w:customStyle="1" w:styleId="28">
    <w:name w:val="二级"/>
    <w:basedOn w:val="1"/>
    <w:qFormat/>
    <w:uiPriority w:val="0"/>
    <w:pPr>
      <w:outlineLvl w:val="2"/>
    </w:pPr>
    <w:rPr>
      <w:rFonts w:ascii="宋体" w:hAnsi="宋体"/>
      <w:b/>
      <w:szCs w:val="28"/>
      <w:lang w:eastAsia="en-US"/>
    </w:rPr>
  </w:style>
  <w:style w:type="paragraph" w:customStyle="1" w:styleId="29">
    <w:name w:val="Table Paragraph"/>
    <w:basedOn w:val="1"/>
    <w:qFormat/>
    <w:uiPriority w:val="1"/>
  </w:style>
  <w:style w:type="character" w:customStyle="1" w:styleId="30">
    <w:name w:val="font41"/>
    <w:basedOn w:val="15"/>
    <w:qFormat/>
    <w:uiPriority w:val="0"/>
    <w:rPr>
      <w:rFonts w:hint="default" w:ascii="Times New Roman" w:hAnsi="Times New Roman" w:cs="Times New Roman"/>
      <w:color w:val="000000"/>
      <w:sz w:val="18"/>
      <w:szCs w:val="18"/>
      <w:u w:val="none"/>
    </w:rPr>
  </w:style>
  <w:style w:type="character" w:customStyle="1" w:styleId="31">
    <w:name w:val="font01"/>
    <w:basedOn w:val="15"/>
    <w:qFormat/>
    <w:uiPriority w:val="0"/>
    <w:rPr>
      <w:rFonts w:hint="eastAsia" w:ascii="宋体" w:hAnsi="宋体" w:eastAsia="宋体" w:cs="宋体"/>
      <w:color w:val="000000"/>
      <w:sz w:val="18"/>
      <w:szCs w:val="18"/>
      <w:u w:val="none"/>
    </w:rPr>
  </w:style>
  <w:style w:type="paragraph" w:customStyle="1" w:styleId="32">
    <w:name w:val="修订1"/>
    <w:hidden/>
    <w:semiHidden/>
    <w:qFormat/>
    <w:uiPriority w:val="99"/>
    <w:rPr>
      <w:rFonts w:ascii="Times New Roman" w:hAnsi="Times New Roman" w:eastAsia="宋体" w:cs="Times New Roman"/>
      <w:kern w:val="2"/>
      <w:sz w:val="21"/>
      <w:szCs w:val="22"/>
      <w:lang w:val="en-US" w:eastAsia="zh-CN" w:bidi="ar-SA"/>
    </w:rPr>
  </w:style>
  <w:style w:type="character" w:customStyle="1" w:styleId="33">
    <w:name w:val="批注文字 Char"/>
    <w:basedOn w:val="15"/>
    <w:link w:val="6"/>
    <w:qFormat/>
    <w:uiPriority w:val="0"/>
    <w:rPr>
      <w:rFonts w:ascii="Times New Roman" w:hAnsi="Times New Roman" w:eastAsia="宋体" w:cs="Times New Roman"/>
      <w:kern w:val="2"/>
      <w:sz w:val="21"/>
      <w:szCs w:val="22"/>
    </w:rPr>
  </w:style>
  <w:style w:type="character" w:customStyle="1" w:styleId="34">
    <w:name w:val="批注主题 Char"/>
    <w:basedOn w:val="33"/>
    <w:link w:val="5"/>
    <w:qFormat/>
    <w:uiPriority w:val="0"/>
    <w:rPr>
      <w:rFonts w:ascii="Times New Roman" w:hAnsi="Times New Roman" w:eastAsia="宋体" w:cs="Times New Roman"/>
      <w:b/>
      <w:bCs/>
      <w:kern w:val="2"/>
      <w:sz w:val="21"/>
      <w:szCs w:val="22"/>
    </w:rPr>
  </w:style>
  <w:style w:type="paragraph" w:customStyle="1" w:styleId="35">
    <w:name w:val="修订2"/>
    <w:hidden/>
    <w:semiHidden/>
    <w:qFormat/>
    <w:uiPriority w:val="99"/>
    <w:rPr>
      <w:rFonts w:ascii="Times New Roman" w:hAnsi="Times New Roman" w:eastAsia="宋体" w:cs="Times New Roman"/>
      <w:kern w:val="2"/>
      <w:sz w:val="21"/>
      <w:szCs w:val="22"/>
      <w:lang w:val="en-US" w:eastAsia="zh-CN" w:bidi="ar-SA"/>
    </w:rPr>
  </w:style>
  <w:style w:type="character" w:customStyle="1" w:styleId="36">
    <w:name w:val="批注框文本 Char"/>
    <w:basedOn w:val="15"/>
    <w:link w:val="9"/>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4.xml"/><Relationship Id="rId7" Type="http://schemas.openxmlformats.org/officeDocument/2006/relationships/header" Target="header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Company>
  <Pages>25</Pages>
  <Words>1791</Words>
  <Characters>10215</Characters>
  <Lines>85</Lines>
  <Paragraphs>23</Paragraphs>
  <ScaleCrop>false</ScaleCrop>
  <LinksUpToDate>false</LinksUpToDate>
  <CharactersWithSpaces>11983</CharactersWithSpaces>
  <Application>WPS Office_4.0.0.6524_F1E327BC-269C-435d-A152-05C5408002CA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2021-08-29T09:22:00Z</dcterms:created>
  <dc:creator>ZqhnkwdJ</dc:creator>
  <cp:lastModifiedBy>fukaixin</cp:lastModifiedBy>
  <dcterms:modified xsi:type="dcterms:W3CDTF">2022-05-27T15:04:30Z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2052-4.0.0.6524</vt:lpwstr>
  </property>
  <property fmtid="{D5CDD505-2E9C-101B-9397-08002B2CF9AE}" pid="3" name="ICV">
    <vt:lpwstr>11715A4D8B65488DBD9995FBA67E1A22</vt:lpwstr>
  </property>
</Properties>
</file>