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95" w:rsidRDefault="00A97DE9">
      <w:pPr>
        <w:widowControl/>
        <w:adjustRightInd w:val="0"/>
        <w:snapToGrid w:val="0"/>
        <w:spacing w:line="560" w:lineRule="exact"/>
        <w:rPr>
          <w:rFonts w:ascii="黑体" w:eastAsia="黑体" w:hAnsi="宋体" w:cs="宋体"/>
          <w:color w:val="000000"/>
          <w:sz w:val="32"/>
          <w:szCs w:val="32"/>
        </w:rPr>
      </w:pPr>
      <w:r>
        <w:rPr>
          <w:rFonts w:ascii="黑体" w:eastAsia="黑体" w:hAnsi="宋体" w:cs="宋体" w:hint="eastAsia"/>
          <w:color w:val="000000"/>
          <w:sz w:val="32"/>
          <w:szCs w:val="32"/>
        </w:rPr>
        <w:t>附件2</w:t>
      </w:r>
    </w:p>
    <w:p w:rsidR="0063029A" w:rsidRDefault="0063029A">
      <w:pPr>
        <w:widowControl/>
        <w:adjustRightInd w:val="0"/>
        <w:snapToGrid w:val="0"/>
        <w:spacing w:line="560" w:lineRule="exact"/>
        <w:rPr>
          <w:rFonts w:ascii="黑体" w:eastAsia="黑体" w:hAnsi="宋体" w:cs="宋体"/>
          <w:color w:val="000000"/>
          <w:sz w:val="32"/>
          <w:szCs w:val="32"/>
        </w:rPr>
      </w:pPr>
    </w:p>
    <w:p w:rsidR="009F3995" w:rsidRDefault="00A97DE9">
      <w:pPr>
        <w:adjustRightInd w:val="0"/>
        <w:snapToGrid w:val="0"/>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20</w:t>
      </w:r>
      <w:r>
        <w:rPr>
          <w:rFonts w:ascii="方正小标宋简体" w:eastAsia="方正小标宋简体" w:hAnsi="宋体" w:cs="宋体"/>
          <w:kern w:val="0"/>
          <w:sz w:val="44"/>
          <w:szCs w:val="44"/>
        </w:rPr>
        <w:t>2</w:t>
      </w:r>
      <w:r>
        <w:rPr>
          <w:rFonts w:ascii="方正小标宋简体" w:eastAsia="方正小标宋简体" w:hAnsi="宋体" w:cs="宋体" w:hint="eastAsia"/>
          <w:kern w:val="0"/>
          <w:sz w:val="44"/>
          <w:szCs w:val="44"/>
        </w:rPr>
        <w:t>2年度北京市“安康杯”竞赛活动考核指标</w:t>
      </w:r>
    </w:p>
    <w:p w:rsidR="009F3995" w:rsidRDefault="009F3995">
      <w:pPr>
        <w:adjustRightInd w:val="0"/>
        <w:snapToGrid w:val="0"/>
        <w:spacing w:line="560" w:lineRule="exact"/>
        <w:jc w:val="center"/>
        <w:rPr>
          <w:rFonts w:ascii="方正小标宋简体" w:eastAsia="方正小标宋简体" w:hAnsi="宋体" w:cs="宋体"/>
          <w:kern w:val="0"/>
          <w:sz w:val="44"/>
          <w:szCs w:val="44"/>
        </w:rPr>
      </w:pPr>
    </w:p>
    <w:tbl>
      <w:tblPr>
        <w:tblW w:w="49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0"/>
        <w:gridCol w:w="5731"/>
        <w:gridCol w:w="4968"/>
        <w:gridCol w:w="856"/>
        <w:gridCol w:w="1096"/>
      </w:tblGrid>
      <w:tr w:rsidR="009F3995">
        <w:trPr>
          <w:trHeight w:val="583"/>
          <w:tblHeader/>
          <w:jc w:val="center"/>
        </w:trPr>
        <w:tc>
          <w:tcPr>
            <w:tcW w:w="1135" w:type="dxa"/>
            <w:vAlign w:val="center"/>
          </w:tcPr>
          <w:p w:rsidR="009F3995" w:rsidRDefault="00A97DE9">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考核项目</w:t>
            </w:r>
          </w:p>
        </w:tc>
        <w:tc>
          <w:tcPr>
            <w:tcW w:w="5245" w:type="dxa"/>
            <w:vAlign w:val="center"/>
          </w:tcPr>
          <w:p w:rsidR="009F3995" w:rsidRDefault="00A97DE9">
            <w:pPr>
              <w:widowControl/>
              <w:jc w:val="center"/>
              <w:rPr>
                <w:rFonts w:asciiTheme="minorEastAsia" w:eastAsiaTheme="minorEastAsia" w:hAnsiTheme="minorEastAsia" w:cs="Times New Roman"/>
                <w:b/>
                <w:kern w:val="0"/>
                <w:sz w:val="18"/>
                <w:szCs w:val="18"/>
              </w:rPr>
            </w:pPr>
            <w:r>
              <w:rPr>
                <w:rFonts w:asciiTheme="minorEastAsia" w:eastAsiaTheme="minorEastAsia" w:hAnsiTheme="minorEastAsia" w:cs="Times New Roman" w:hint="eastAsia"/>
                <w:b/>
                <w:kern w:val="0"/>
                <w:sz w:val="18"/>
                <w:szCs w:val="18"/>
              </w:rPr>
              <w:t>考核内容</w:t>
            </w:r>
          </w:p>
        </w:tc>
        <w:tc>
          <w:tcPr>
            <w:tcW w:w="4546" w:type="dxa"/>
            <w:vAlign w:val="center"/>
          </w:tcPr>
          <w:p w:rsidR="009F3995" w:rsidRDefault="00A97DE9">
            <w:pPr>
              <w:widowControl/>
              <w:jc w:val="center"/>
              <w:rPr>
                <w:rFonts w:asciiTheme="minorEastAsia" w:eastAsiaTheme="minorEastAsia" w:hAnsiTheme="minorEastAsia" w:cs="Times New Roman"/>
                <w:b/>
                <w:kern w:val="0"/>
                <w:sz w:val="18"/>
                <w:szCs w:val="18"/>
              </w:rPr>
            </w:pPr>
            <w:r>
              <w:rPr>
                <w:rFonts w:asciiTheme="minorEastAsia" w:eastAsiaTheme="minorEastAsia" w:hAnsiTheme="minorEastAsia" w:cs="Times New Roman" w:hint="eastAsia"/>
                <w:b/>
                <w:kern w:val="0"/>
                <w:sz w:val="18"/>
                <w:szCs w:val="18"/>
              </w:rPr>
              <w:t>测评标准</w:t>
            </w:r>
          </w:p>
        </w:tc>
        <w:tc>
          <w:tcPr>
            <w:tcW w:w="783" w:type="dxa"/>
            <w:vAlign w:val="center"/>
          </w:tcPr>
          <w:p w:rsidR="009F3995" w:rsidRDefault="00A97DE9">
            <w:pPr>
              <w:widowControl/>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扣分</w:t>
            </w:r>
          </w:p>
        </w:tc>
        <w:tc>
          <w:tcPr>
            <w:tcW w:w="1003" w:type="dxa"/>
            <w:vAlign w:val="center"/>
          </w:tcPr>
          <w:p w:rsidR="009F3995" w:rsidRDefault="00A97DE9">
            <w:pPr>
              <w:widowControl/>
              <w:jc w:val="center"/>
              <w:rPr>
                <w:rFonts w:asciiTheme="minorEastAsia" w:eastAsiaTheme="minorEastAsia" w:hAnsiTheme="minorEastAsia" w:cs="Times New Roman"/>
                <w:b/>
                <w:kern w:val="0"/>
                <w:sz w:val="18"/>
                <w:szCs w:val="18"/>
              </w:rPr>
            </w:pPr>
            <w:r>
              <w:rPr>
                <w:rFonts w:asciiTheme="minorEastAsia" w:eastAsiaTheme="minorEastAsia" w:hAnsiTheme="minorEastAsia" w:cs="Times New Roman" w:hint="eastAsia"/>
                <w:b/>
                <w:kern w:val="0"/>
                <w:sz w:val="18"/>
                <w:szCs w:val="18"/>
              </w:rPr>
              <w:t>评定得分</w:t>
            </w:r>
          </w:p>
        </w:tc>
      </w:tr>
      <w:tr w:rsidR="009F3995">
        <w:trPr>
          <w:trHeight w:val="762"/>
          <w:jc w:val="center"/>
        </w:trPr>
        <w:tc>
          <w:tcPr>
            <w:tcW w:w="1135" w:type="dxa"/>
            <w:vAlign w:val="center"/>
          </w:tcPr>
          <w:p w:rsidR="009F3995" w:rsidRDefault="00A97DE9">
            <w:pPr>
              <w:widowControl/>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基本条件</w:t>
            </w:r>
          </w:p>
        </w:tc>
        <w:tc>
          <w:tcPr>
            <w:tcW w:w="5245" w:type="dxa"/>
            <w:vAlign w:val="center"/>
          </w:tcPr>
          <w:p w:rsidR="009F3995" w:rsidRDefault="00A97DE9">
            <w:pPr>
              <w:widowControl/>
              <w:jc w:val="left"/>
              <w:rPr>
                <w:rFonts w:ascii="宋体" w:cs="Times New Roman"/>
                <w:kern w:val="0"/>
                <w:sz w:val="18"/>
                <w:szCs w:val="18"/>
              </w:rPr>
            </w:pPr>
            <w:r>
              <w:rPr>
                <w:rFonts w:ascii="宋体" w:cs="Times New Roman" w:hint="eastAsia"/>
                <w:kern w:val="0"/>
                <w:sz w:val="18"/>
                <w:szCs w:val="18"/>
              </w:rPr>
              <w:t>1.已建立工会组织；</w:t>
            </w:r>
          </w:p>
          <w:p w:rsidR="009F3995" w:rsidRDefault="00A97DE9">
            <w:pPr>
              <w:widowControl/>
              <w:jc w:val="left"/>
              <w:rPr>
                <w:rFonts w:ascii="宋体" w:cs="Times New Roman"/>
                <w:kern w:val="0"/>
                <w:sz w:val="18"/>
                <w:szCs w:val="18"/>
              </w:rPr>
            </w:pPr>
            <w:r>
              <w:rPr>
                <w:rFonts w:ascii="宋体" w:cs="Times New Roman" w:hint="eastAsia"/>
                <w:kern w:val="0"/>
                <w:sz w:val="18"/>
                <w:szCs w:val="18"/>
              </w:rPr>
              <w:t>2.有竞赛组织机构、活动实施方案及工作流程；</w:t>
            </w:r>
          </w:p>
          <w:p w:rsidR="009F3995" w:rsidRDefault="00A97DE9">
            <w:pPr>
              <w:widowControl/>
              <w:jc w:val="left"/>
              <w:rPr>
                <w:rFonts w:ascii="宋体" w:cs="Times New Roman"/>
                <w:kern w:val="0"/>
                <w:sz w:val="18"/>
                <w:szCs w:val="18"/>
              </w:rPr>
            </w:pPr>
            <w:r>
              <w:rPr>
                <w:rFonts w:ascii="宋体" w:cs="Times New Roman" w:hint="eastAsia"/>
                <w:kern w:val="0"/>
                <w:sz w:val="18"/>
                <w:szCs w:val="18"/>
              </w:rPr>
              <w:t>3.年度内未发生重伤及以上安全事故；</w:t>
            </w:r>
          </w:p>
          <w:p w:rsidR="009F3995" w:rsidRDefault="00A97DE9">
            <w:pPr>
              <w:widowControl/>
              <w:jc w:val="left"/>
              <w:rPr>
                <w:rFonts w:ascii="宋体" w:cs="Times New Roman"/>
                <w:kern w:val="0"/>
                <w:sz w:val="18"/>
                <w:szCs w:val="18"/>
              </w:rPr>
            </w:pPr>
            <w:r>
              <w:rPr>
                <w:rFonts w:ascii="宋体" w:cs="Times New Roman" w:hint="eastAsia"/>
                <w:kern w:val="0"/>
                <w:sz w:val="18"/>
                <w:szCs w:val="18"/>
              </w:rPr>
              <w:t>4.年度内未发生确诊职业病或疑似职业病病例；</w:t>
            </w:r>
          </w:p>
          <w:p w:rsidR="009F3995" w:rsidRDefault="00A97DE9">
            <w:pPr>
              <w:widowControl/>
              <w:jc w:val="left"/>
              <w:rPr>
                <w:rFonts w:ascii="宋体" w:cs="Times New Roman"/>
                <w:kern w:val="0"/>
                <w:sz w:val="18"/>
                <w:szCs w:val="18"/>
              </w:rPr>
            </w:pPr>
            <w:r>
              <w:rPr>
                <w:rFonts w:ascii="宋体" w:cs="Times New Roman" w:hint="eastAsia"/>
                <w:kern w:val="0"/>
                <w:sz w:val="18"/>
                <w:szCs w:val="18"/>
              </w:rPr>
              <w:t>5.年度内未发生违反《职业病防治法》的行政处罚；</w:t>
            </w:r>
          </w:p>
          <w:p w:rsidR="009F3995" w:rsidRDefault="00A97DE9">
            <w:pPr>
              <w:widowControl/>
              <w:jc w:val="left"/>
              <w:rPr>
                <w:rFonts w:ascii="宋体" w:cs="Times New Roman"/>
                <w:kern w:val="0"/>
                <w:sz w:val="18"/>
                <w:szCs w:val="18"/>
              </w:rPr>
            </w:pPr>
            <w:r>
              <w:rPr>
                <w:rFonts w:ascii="宋体" w:cs="Times New Roman" w:hint="eastAsia"/>
                <w:kern w:val="0"/>
                <w:sz w:val="18"/>
                <w:szCs w:val="18"/>
              </w:rPr>
              <w:t>6.自评得分达80分以上；</w:t>
            </w:r>
          </w:p>
          <w:p w:rsidR="009F3995" w:rsidRDefault="00A97DE9">
            <w:pPr>
              <w:widowControl/>
              <w:jc w:val="left"/>
              <w:rPr>
                <w:rFonts w:asciiTheme="minorEastAsia" w:eastAsiaTheme="minorEastAsia" w:hAnsiTheme="minorEastAsia" w:cs="Times New Roman"/>
                <w:kern w:val="0"/>
                <w:sz w:val="18"/>
                <w:szCs w:val="18"/>
              </w:rPr>
            </w:pPr>
            <w:r>
              <w:rPr>
                <w:rFonts w:ascii="宋体" w:cs="Times New Roman" w:hint="eastAsia"/>
                <w:kern w:val="0"/>
                <w:sz w:val="18"/>
                <w:szCs w:val="18"/>
              </w:rPr>
              <w:t>7.单项考核项目得分率不低于80%。</w:t>
            </w:r>
          </w:p>
        </w:tc>
        <w:tc>
          <w:tcPr>
            <w:tcW w:w="4546" w:type="dxa"/>
            <w:vAlign w:val="center"/>
          </w:tcPr>
          <w:p w:rsidR="009F3995" w:rsidRDefault="00A97DE9">
            <w:pPr>
              <w:widowControl/>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符合此基本条件，方可参加市级优胜单位评选。</w:t>
            </w:r>
          </w:p>
        </w:tc>
        <w:tc>
          <w:tcPr>
            <w:tcW w:w="783" w:type="dxa"/>
            <w:vAlign w:val="center"/>
          </w:tcPr>
          <w:p w:rsidR="009F3995" w:rsidRDefault="009F3995">
            <w:pPr>
              <w:widowControl/>
              <w:jc w:val="center"/>
              <w:rPr>
                <w:rFonts w:asciiTheme="minorEastAsia" w:eastAsiaTheme="minorEastAsia" w:hAnsiTheme="minorEastAsia" w:cs="Times New Roman"/>
                <w:kern w:val="0"/>
                <w:sz w:val="18"/>
                <w:szCs w:val="18"/>
              </w:rPr>
            </w:pPr>
          </w:p>
        </w:tc>
        <w:tc>
          <w:tcPr>
            <w:tcW w:w="1003" w:type="dxa"/>
            <w:vAlign w:val="center"/>
          </w:tcPr>
          <w:p w:rsidR="009F3995" w:rsidRDefault="009F3995">
            <w:pPr>
              <w:widowControl/>
              <w:jc w:val="center"/>
              <w:rPr>
                <w:rFonts w:asciiTheme="minorEastAsia" w:eastAsiaTheme="minorEastAsia" w:hAnsiTheme="minorEastAsia" w:cs="Times New Roman"/>
                <w:kern w:val="0"/>
                <w:sz w:val="18"/>
                <w:szCs w:val="18"/>
              </w:rPr>
            </w:pPr>
          </w:p>
        </w:tc>
      </w:tr>
      <w:tr w:rsidR="009F3995">
        <w:trPr>
          <w:trHeight w:val="598"/>
          <w:jc w:val="center"/>
        </w:trPr>
        <w:tc>
          <w:tcPr>
            <w:tcW w:w="12712" w:type="dxa"/>
            <w:gridSpan w:val="5"/>
            <w:vAlign w:val="center"/>
          </w:tcPr>
          <w:p w:rsidR="009F3995" w:rsidRDefault="00A97DE9">
            <w:pPr>
              <w:widowControl/>
              <w:adjustRightInd w:val="0"/>
              <w:snapToGrid w:val="0"/>
              <w:jc w:val="left"/>
              <w:rPr>
                <w:rFonts w:asciiTheme="minorEastAsia" w:eastAsiaTheme="minorEastAsia" w:hAnsiTheme="minorEastAsia"/>
                <w:b/>
                <w:kern w:val="0"/>
                <w:sz w:val="18"/>
                <w:szCs w:val="18"/>
              </w:rPr>
            </w:pPr>
            <w:r>
              <w:rPr>
                <w:rFonts w:ascii="宋体" w:hAnsi="宋体" w:cs="Times New Roman"/>
                <w:kern w:val="0"/>
                <w:sz w:val="18"/>
                <w:szCs w:val="18"/>
              </w:rPr>
              <w:t>总分1</w:t>
            </w:r>
            <w:r>
              <w:rPr>
                <w:rFonts w:ascii="宋体" w:hAnsi="宋体" w:cs="Times New Roman" w:hint="eastAsia"/>
                <w:kern w:val="0"/>
                <w:sz w:val="18"/>
                <w:szCs w:val="18"/>
              </w:rPr>
              <w:t>2</w:t>
            </w:r>
            <w:r>
              <w:rPr>
                <w:rFonts w:ascii="宋体" w:hAnsi="宋体" w:cs="Times New Roman"/>
                <w:kern w:val="0"/>
                <w:sz w:val="18"/>
                <w:szCs w:val="18"/>
              </w:rPr>
              <w:t>0分，其中考核项目有组织领导（</w:t>
            </w:r>
            <w:r>
              <w:rPr>
                <w:rFonts w:ascii="宋体" w:hAnsi="宋体" w:cs="宋体" w:hint="eastAsia"/>
                <w:kern w:val="0"/>
                <w:sz w:val="18"/>
                <w:szCs w:val="18"/>
              </w:rPr>
              <w:t>12分）、安全管理（35分）、劳动保护与职业健康（25分）、基层组织安全生产建设（15分）、群众监督参与（13 分），用电管理（20分），另设有鼓励项（6分）和否决项条款。</w:t>
            </w:r>
          </w:p>
        </w:tc>
      </w:tr>
      <w:tr w:rsidR="009F3995">
        <w:trPr>
          <w:trHeight w:val="564"/>
          <w:jc w:val="center"/>
        </w:trPr>
        <w:tc>
          <w:tcPr>
            <w:tcW w:w="1135" w:type="dxa"/>
            <w:vMerge w:val="restart"/>
            <w:vAlign w:val="center"/>
          </w:tcPr>
          <w:p w:rsidR="009F3995" w:rsidRDefault="00A97DE9">
            <w:pPr>
              <w:widowControl/>
              <w:adjustRightInd w:val="0"/>
              <w:snapToGrid w:val="0"/>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组织领导（1</w:t>
            </w:r>
            <w:r>
              <w:rPr>
                <w:rFonts w:asciiTheme="minorEastAsia" w:eastAsiaTheme="minorEastAsia" w:hAnsiTheme="minorEastAsia"/>
                <w:b/>
                <w:kern w:val="0"/>
                <w:sz w:val="18"/>
                <w:szCs w:val="18"/>
              </w:rPr>
              <w:t>2</w:t>
            </w:r>
            <w:r>
              <w:rPr>
                <w:rFonts w:asciiTheme="minorEastAsia" w:eastAsiaTheme="minorEastAsia" w:hAnsiTheme="minorEastAsia" w:hint="eastAsia"/>
                <w:b/>
                <w:kern w:val="0"/>
                <w:sz w:val="18"/>
                <w:szCs w:val="18"/>
              </w:rPr>
              <w:t>分）</w:t>
            </w:r>
          </w:p>
        </w:tc>
        <w:tc>
          <w:tcPr>
            <w:tcW w:w="5245" w:type="dxa"/>
            <w:vMerge w:val="restart"/>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1.主要领导任“安康杯”竞赛组委会（领导小组）主任，竞赛组织机构健全。（3分）</w:t>
            </w:r>
          </w:p>
        </w:tc>
        <w:tc>
          <w:tcPr>
            <w:tcW w:w="4546" w:type="dxa"/>
            <w:vAlign w:val="center"/>
          </w:tcPr>
          <w:p w:rsidR="009F3995" w:rsidRDefault="00A97DE9">
            <w:pPr>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非主要领导任“安康杯”竞赛组委会（领导小组）主任，扣1分。</w:t>
            </w:r>
          </w:p>
        </w:tc>
        <w:tc>
          <w:tcPr>
            <w:tcW w:w="78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c>
          <w:tcPr>
            <w:tcW w:w="100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r>
      <w:tr w:rsidR="009F3995">
        <w:trPr>
          <w:trHeight w:val="558"/>
          <w:jc w:val="center"/>
        </w:trPr>
        <w:tc>
          <w:tcPr>
            <w:tcW w:w="1135" w:type="dxa"/>
            <w:vMerge/>
            <w:vAlign w:val="center"/>
          </w:tcPr>
          <w:p w:rsidR="009F3995" w:rsidRDefault="009F3995">
            <w:pPr>
              <w:rPr>
                <w:rFonts w:asciiTheme="minorEastAsia" w:eastAsiaTheme="minorEastAsia" w:hAnsiTheme="minorEastAsia"/>
              </w:rPr>
            </w:pPr>
          </w:p>
        </w:tc>
        <w:tc>
          <w:tcPr>
            <w:tcW w:w="5245" w:type="dxa"/>
            <w:vMerge/>
            <w:vAlign w:val="center"/>
          </w:tcPr>
          <w:p w:rsidR="009F3995" w:rsidRDefault="009F3995">
            <w:pPr>
              <w:rPr>
                <w:rFonts w:asciiTheme="minorEastAsia" w:eastAsiaTheme="minorEastAsia" w:hAnsiTheme="minorEastAsia"/>
              </w:rPr>
            </w:pPr>
          </w:p>
        </w:tc>
        <w:tc>
          <w:tcPr>
            <w:tcW w:w="4546" w:type="dxa"/>
            <w:vAlign w:val="center"/>
          </w:tcPr>
          <w:p w:rsidR="009F3995" w:rsidRDefault="00A97DE9">
            <w:pPr>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工会主席非“安康杯”竞赛组委会（领导小组）主要成员，扣1分。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411"/>
          <w:jc w:val="center"/>
        </w:trPr>
        <w:tc>
          <w:tcPr>
            <w:tcW w:w="1135" w:type="dxa"/>
            <w:vMerge/>
            <w:vAlign w:val="center"/>
          </w:tcPr>
          <w:p w:rsidR="009F3995" w:rsidRDefault="009F3995">
            <w:pPr>
              <w:rPr>
                <w:rFonts w:asciiTheme="minorEastAsia" w:eastAsiaTheme="minorEastAsia" w:hAnsiTheme="minorEastAsia"/>
              </w:rPr>
            </w:pPr>
          </w:p>
        </w:tc>
        <w:tc>
          <w:tcPr>
            <w:tcW w:w="5245" w:type="dxa"/>
            <w:vMerge/>
            <w:vAlign w:val="center"/>
          </w:tcPr>
          <w:p w:rsidR="009F3995" w:rsidRDefault="009F3995">
            <w:pPr>
              <w:rPr>
                <w:rFonts w:asciiTheme="minorEastAsia" w:eastAsiaTheme="minorEastAsia" w:hAnsiTheme="minorEastAsia"/>
              </w:rPr>
            </w:pP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竞赛组织机构不健全，扣1分。</w:t>
            </w:r>
          </w:p>
        </w:tc>
        <w:tc>
          <w:tcPr>
            <w:tcW w:w="78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c>
          <w:tcPr>
            <w:tcW w:w="100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r>
      <w:tr w:rsidR="009F3995">
        <w:trPr>
          <w:trHeight w:val="305"/>
          <w:jc w:val="center"/>
        </w:trPr>
        <w:tc>
          <w:tcPr>
            <w:tcW w:w="1135" w:type="dxa"/>
            <w:vMerge/>
            <w:vAlign w:val="center"/>
          </w:tcPr>
          <w:p w:rsidR="009F3995" w:rsidRDefault="009F3995">
            <w:pPr>
              <w:rPr>
                <w:rFonts w:asciiTheme="minorEastAsia" w:eastAsiaTheme="minorEastAsia" w:hAnsiTheme="minorEastAsia"/>
              </w:rPr>
            </w:pPr>
          </w:p>
        </w:tc>
        <w:tc>
          <w:tcPr>
            <w:tcW w:w="5245" w:type="dxa"/>
            <w:vMerge w:val="restart"/>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2.竞赛活动有方案、部署、组织、投入、检查、评比、奖惩。（5分）</w:t>
            </w: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未组织开展竞赛活动，一票否决。</w:t>
            </w:r>
          </w:p>
        </w:tc>
        <w:tc>
          <w:tcPr>
            <w:tcW w:w="78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c>
          <w:tcPr>
            <w:tcW w:w="100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r>
      <w:tr w:rsidR="009F3995">
        <w:trPr>
          <w:trHeight w:val="552"/>
          <w:jc w:val="center"/>
        </w:trPr>
        <w:tc>
          <w:tcPr>
            <w:tcW w:w="1135" w:type="dxa"/>
            <w:vMerge/>
            <w:vAlign w:val="center"/>
          </w:tcPr>
          <w:p w:rsidR="009F3995" w:rsidRDefault="009F3995">
            <w:pPr>
              <w:rPr>
                <w:rFonts w:asciiTheme="minorEastAsia" w:eastAsiaTheme="minorEastAsia" w:hAnsiTheme="minorEastAsia"/>
              </w:rPr>
            </w:pPr>
          </w:p>
        </w:tc>
        <w:tc>
          <w:tcPr>
            <w:tcW w:w="5245" w:type="dxa"/>
            <w:vMerge/>
            <w:vAlign w:val="center"/>
          </w:tcPr>
          <w:p w:rsidR="009F3995" w:rsidRDefault="009F3995">
            <w:pPr>
              <w:rPr>
                <w:rFonts w:asciiTheme="minorEastAsia" w:eastAsiaTheme="minorEastAsia" w:hAnsiTheme="minorEastAsia"/>
              </w:rPr>
            </w:pP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竞赛活动方案、部署、组织、投入、检查、评比、奖惩不完善，每缺一项扣1分。</w:t>
            </w:r>
          </w:p>
        </w:tc>
        <w:tc>
          <w:tcPr>
            <w:tcW w:w="78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c>
          <w:tcPr>
            <w:tcW w:w="100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r>
      <w:tr w:rsidR="009F3995">
        <w:trPr>
          <w:trHeight w:val="400"/>
          <w:jc w:val="center"/>
        </w:trPr>
        <w:tc>
          <w:tcPr>
            <w:tcW w:w="1135" w:type="dxa"/>
            <w:vMerge/>
            <w:vAlign w:val="center"/>
          </w:tcPr>
          <w:p w:rsidR="009F3995" w:rsidRDefault="009F3995">
            <w:pPr>
              <w:rPr>
                <w:rFonts w:asciiTheme="minorEastAsia" w:eastAsiaTheme="minorEastAsia" w:hAnsiTheme="minorEastAsia"/>
              </w:rPr>
            </w:pPr>
          </w:p>
        </w:tc>
        <w:tc>
          <w:tcPr>
            <w:tcW w:w="5245" w:type="dxa"/>
            <w:vMerge w:val="restart"/>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3.所属企事业单位或职工参赛率较高，基层组织100%参赛。（</w:t>
            </w:r>
            <w:r>
              <w:rPr>
                <w:rFonts w:ascii="宋体" w:hAnsi="宋体" w:cs="宋体"/>
                <w:kern w:val="0"/>
                <w:sz w:val="18"/>
                <w:szCs w:val="18"/>
              </w:rPr>
              <w:t>4</w:t>
            </w:r>
            <w:r>
              <w:rPr>
                <w:rFonts w:ascii="宋体" w:hAnsi="宋体" w:cs="宋体" w:hint="eastAsia"/>
                <w:kern w:val="0"/>
                <w:sz w:val="18"/>
                <w:szCs w:val="18"/>
              </w:rPr>
              <w:t>分）</w:t>
            </w: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所属单位或职工参赛率低于80%，扣1分。</w:t>
            </w:r>
          </w:p>
        </w:tc>
        <w:tc>
          <w:tcPr>
            <w:tcW w:w="78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c>
          <w:tcPr>
            <w:tcW w:w="100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r>
      <w:tr w:rsidR="009F3995">
        <w:trPr>
          <w:trHeight w:val="388"/>
          <w:jc w:val="center"/>
        </w:trPr>
        <w:tc>
          <w:tcPr>
            <w:tcW w:w="1135" w:type="dxa"/>
            <w:vMerge/>
            <w:vAlign w:val="center"/>
          </w:tcPr>
          <w:p w:rsidR="009F3995" w:rsidRDefault="009F3995">
            <w:pPr>
              <w:rPr>
                <w:rFonts w:asciiTheme="minorEastAsia" w:eastAsiaTheme="minorEastAsia" w:hAnsiTheme="minorEastAsia"/>
              </w:rPr>
            </w:pPr>
          </w:p>
        </w:tc>
        <w:tc>
          <w:tcPr>
            <w:tcW w:w="5245" w:type="dxa"/>
            <w:vMerge/>
            <w:vAlign w:val="center"/>
          </w:tcPr>
          <w:p w:rsidR="009F3995" w:rsidRDefault="009F3995">
            <w:pPr>
              <w:rPr>
                <w:rFonts w:asciiTheme="minorEastAsia" w:eastAsiaTheme="minorEastAsia" w:hAnsiTheme="minorEastAsia"/>
              </w:rPr>
            </w:pP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等线" w:hAnsi="等线" w:cs="宋体" w:hint="eastAsia"/>
                <w:kern w:val="0"/>
                <w:sz w:val="18"/>
                <w:szCs w:val="18"/>
              </w:rPr>
              <w:t>基层组织未达到</w:t>
            </w:r>
            <w:r>
              <w:rPr>
                <w:rFonts w:ascii="等线" w:hAnsi="等线" w:cs="宋体" w:hint="eastAsia"/>
                <w:kern w:val="0"/>
                <w:sz w:val="18"/>
                <w:szCs w:val="18"/>
              </w:rPr>
              <w:t>100%</w:t>
            </w:r>
            <w:r>
              <w:rPr>
                <w:rFonts w:ascii="等线" w:hAnsi="等线" w:cs="宋体" w:hint="eastAsia"/>
                <w:kern w:val="0"/>
                <w:sz w:val="18"/>
                <w:szCs w:val="18"/>
              </w:rPr>
              <w:t>参赛，扣</w:t>
            </w:r>
            <w:r>
              <w:rPr>
                <w:rFonts w:ascii="等线" w:hAnsi="等线" w:cs="宋体" w:hint="eastAsia"/>
                <w:kern w:val="0"/>
                <w:sz w:val="18"/>
                <w:szCs w:val="18"/>
              </w:rPr>
              <w:t>1</w:t>
            </w:r>
            <w:r>
              <w:rPr>
                <w:rFonts w:ascii="等线" w:hAnsi="等线" w:cs="宋体" w:hint="eastAsia"/>
                <w:kern w:val="0"/>
                <w:sz w:val="18"/>
                <w:szCs w:val="18"/>
              </w:rPr>
              <w:t>分。</w:t>
            </w:r>
          </w:p>
        </w:tc>
        <w:tc>
          <w:tcPr>
            <w:tcW w:w="78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c>
          <w:tcPr>
            <w:tcW w:w="1003"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　</w:t>
            </w:r>
          </w:p>
        </w:tc>
      </w:tr>
      <w:tr w:rsidR="009F3995" w:rsidTr="00786E7F">
        <w:trPr>
          <w:trHeight w:val="529"/>
          <w:jc w:val="center"/>
        </w:trPr>
        <w:tc>
          <w:tcPr>
            <w:tcW w:w="1135" w:type="dxa"/>
            <w:vMerge w:val="restart"/>
            <w:vAlign w:val="center"/>
          </w:tcPr>
          <w:p w:rsidR="009F3995" w:rsidRDefault="00A97DE9">
            <w:pPr>
              <w:widowControl/>
              <w:adjustRightInd w:val="0"/>
              <w:snapToGrid w:val="0"/>
              <w:jc w:val="center"/>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安全管理</w:t>
            </w:r>
            <w:r>
              <w:rPr>
                <w:rFonts w:asciiTheme="minorEastAsia" w:eastAsiaTheme="minorEastAsia" w:hAnsiTheme="minorEastAsia" w:hint="eastAsia"/>
                <w:b/>
                <w:kern w:val="0"/>
                <w:sz w:val="18"/>
                <w:szCs w:val="18"/>
              </w:rPr>
              <w:t>（</w:t>
            </w:r>
            <w:r>
              <w:rPr>
                <w:rFonts w:asciiTheme="minorEastAsia" w:eastAsiaTheme="minorEastAsia" w:hAnsiTheme="minorEastAsia"/>
                <w:b/>
                <w:kern w:val="0"/>
                <w:sz w:val="18"/>
                <w:szCs w:val="18"/>
              </w:rPr>
              <w:t>35</w:t>
            </w:r>
            <w:r>
              <w:rPr>
                <w:rFonts w:asciiTheme="minorEastAsia" w:eastAsiaTheme="minorEastAsia" w:hAnsiTheme="minorEastAsia" w:hint="eastAsia"/>
                <w:b/>
                <w:kern w:val="0"/>
                <w:sz w:val="18"/>
                <w:szCs w:val="18"/>
              </w:rPr>
              <w:t>分）</w:t>
            </w:r>
          </w:p>
        </w:tc>
        <w:tc>
          <w:tcPr>
            <w:tcW w:w="5245"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宋体" w:hAnsi="宋体" w:hint="eastAsia"/>
                <w:kern w:val="0"/>
                <w:sz w:val="18"/>
                <w:szCs w:val="18"/>
              </w:rPr>
              <w:t>1.安全工作有方案、有检查、有整改、有验收、有考核、有奖惩。（</w:t>
            </w:r>
            <w:r>
              <w:rPr>
                <w:rFonts w:ascii="宋体" w:hAnsi="宋体"/>
                <w:kern w:val="0"/>
                <w:sz w:val="18"/>
                <w:szCs w:val="18"/>
              </w:rPr>
              <w:t>2</w:t>
            </w:r>
            <w:r>
              <w:rPr>
                <w:rFonts w:ascii="宋体" w:hAnsi="宋体" w:hint="eastAsia"/>
                <w:kern w:val="0"/>
                <w:sz w:val="18"/>
                <w:szCs w:val="18"/>
              </w:rPr>
              <w:t>分）</w:t>
            </w:r>
          </w:p>
        </w:tc>
        <w:tc>
          <w:tcPr>
            <w:tcW w:w="4546"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等线" w:hAnsi="等线" w:hint="eastAsia"/>
                <w:kern w:val="0"/>
                <w:sz w:val="18"/>
                <w:szCs w:val="18"/>
              </w:rPr>
              <w:t>安全工作方案、检查、整改、验收、考核、奖惩，每缺少一项扣</w:t>
            </w:r>
            <w:r>
              <w:rPr>
                <w:rFonts w:ascii="等线" w:hAnsi="等线"/>
                <w:kern w:val="0"/>
                <w:sz w:val="18"/>
                <w:szCs w:val="18"/>
              </w:rPr>
              <w:t>1</w:t>
            </w:r>
            <w:r>
              <w:rPr>
                <w:rFonts w:ascii="等线" w:hAnsi="等线"/>
                <w:kern w:val="0"/>
                <w:sz w:val="18"/>
                <w:szCs w:val="18"/>
              </w:rPr>
              <w:t>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922"/>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宋体" w:hAnsi="宋体"/>
                <w:kern w:val="0"/>
                <w:sz w:val="18"/>
                <w:szCs w:val="18"/>
              </w:rPr>
              <w:t>2.安全管理机构健全，有专、兼职安全人员。（2分）</w:t>
            </w:r>
          </w:p>
        </w:tc>
        <w:tc>
          <w:tcPr>
            <w:tcW w:w="4546"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等线" w:hAnsi="等线" w:hint="eastAsia"/>
                <w:kern w:val="0"/>
                <w:sz w:val="18"/>
                <w:szCs w:val="18"/>
              </w:rPr>
              <w:t>从业人员超过</w:t>
            </w:r>
            <w:r>
              <w:rPr>
                <w:rFonts w:ascii="等线" w:hAnsi="等线" w:hint="eastAsia"/>
                <w:kern w:val="0"/>
                <w:sz w:val="18"/>
                <w:szCs w:val="18"/>
              </w:rPr>
              <w:t>100</w:t>
            </w:r>
            <w:r>
              <w:rPr>
                <w:rFonts w:ascii="等线" w:hAnsi="等线"/>
                <w:kern w:val="0"/>
                <w:sz w:val="18"/>
                <w:szCs w:val="18"/>
              </w:rPr>
              <w:t>人的单位，未设置安全生产管理机构或配</w:t>
            </w:r>
            <w:r>
              <w:rPr>
                <w:rFonts w:ascii="等线" w:hAnsi="等线" w:hint="eastAsia"/>
                <w:kern w:val="0"/>
                <w:sz w:val="18"/>
                <w:szCs w:val="18"/>
              </w:rPr>
              <w:t>备专职安全生产管理人员；其他生产经营单位，未配备专职或者兼职安全生产管理人员，或委托有相关专业技术资格的工程技术人员，提供安全生产管理服务，扣</w:t>
            </w:r>
            <w:r>
              <w:rPr>
                <w:rFonts w:ascii="等线" w:hAnsi="等线"/>
                <w:kern w:val="0"/>
                <w:sz w:val="18"/>
                <w:szCs w:val="18"/>
              </w:rPr>
              <w:t>2</w:t>
            </w:r>
            <w:r>
              <w:rPr>
                <w:rFonts w:ascii="等线" w:hAnsi="等线"/>
                <w:kern w:val="0"/>
                <w:sz w:val="18"/>
                <w:szCs w:val="18"/>
              </w:rPr>
              <w:t>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1155"/>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宋体" w:hAnsi="宋体"/>
                <w:kern w:val="0"/>
                <w:sz w:val="18"/>
                <w:szCs w:val="18"/>
              </w:rPr>
              <w:t>3.建立健全各岗位安全生产责任制，职责应体现出</w:t>
            </w:r>
            <w:r>
              <w:rPr>
                <w:rFonts w:ascii="宋体" w:hAnsi="宋体" w:hint="eastAsia"/>
                <w:kern w:val="0"/>
                <w:sz w:val="18"/>
                <w:szCs w:val="18"/>
              </w:rPr>
              <w:t>“党政同责、一岗双责、齐抓共管”和“管行业必须管安全、管业务必须管安全、管生产经营必须管安全”的相关要求。（</w:t>
            </w:r>
            <w:r>
              <w:rPr>
                <w:rFonts w:ascii="宋体" w:hAnsi="宋体"/>
                <w:kern w:val="0"/>
                <w:sz w:val="18"/>
                <w:szCs w:val="18"/>
              </w:rPr>
              <w:t>5分）</w:t>
            </w:r>
          </w:p>
        </w:tc>
        <w:tc>
          <w:tcPr>
            <w:tcW w:w="4546" w:type="dxa"/>
            <w:vAlign w:val="center"/>
          </w:tcPr>
          <w:p w:rsidR="009F3995" w:rsidRDefault="00A97DE9">
            <w:pPr>
              <w:widowControl/>
              <w:adjustRightInd w:val="0"/>
              <w:snapToGrid w:val="0"/>
              <w:jc w:val="left"/>
              <w:rPr>
                <w:rFonts w:ascii="宋体" w:hAnsi="宋体"/>
                <w:kern w:val="0"/>
                <w:sz w:val="18"/>
                <w:szCs w:val="18"/>
              </w:rPr>
            </w:pPr>
            <w:r>
              <w:rPr>
                <w:rFonts w:ascii="宋体" w:hAnsi="宋体" w:hint="eastAsia"/>
                <w:kern w:val="0"/>
                <w:sz w:val="18"/>
                <w:szCs w:val="18"/>
              </w:rPr>
              <w:t>未建立健全单位各岗位安全生产责任制的，未体现出“党政同责、一岗双责、齐抓共管”和“管行业必须管安全、管业务必须管安全、管生产经营必须管安全”的相关要求，扣</w:t>
            </w:r>
            <w:r>
              <w:rPr>
                <w:rFonts w:ascii="宋体" w:hAnsi="宋体"/>
                <w:kern w:val="0"/>
                <w:sz w:val="18"/>
                <w:szCs w:val="18"/>
              </w:rPr>
              <w:t>2分；</w:t>
            </w:r>
          </w:p>
          <w:p w:rsidR="009F3995" w:rsidRDefault="00A97DE9">
            <w:pPr>
              <w:widowControl/>
              <w:adjustRightInd w:val="0"/>
              <w:snapToGrid w:val="0"/>
              <w:jc w:val="left"/>
              <w:rPr>
                <w:rFonts w:asciiTheme="minorEastAsia" w:eastAsiaTheme="minorEastAsia" w:hAnsiTheme="minorEastAsia"/>
                <w:kern w:val="0"/>
                <w:sz w:val="18"/>
                <w:szCs w:val="18"/>
              </w:rPr>
            </w:pPr>
            <w:r>
              <w:rPr>
                <w:rFonts w:ascii="宋体" w:hAnsi="宋体" w:hint="eastAsia"/>
                <w:kern w:val="0"/>
                <w:sz w:val="18"/>
                <w:szCs w:val="18"/>
              </w:rPr>
              <w:t>《北京市生产经营单位安全生产主体责任规定》逐项落实率低于</w:t>
            </w:r>
            <w:r>
              <w:rPr>
                <w:rFonts w:ascii="宋体" w:hAnsi="宋体"/>
                <w:kern w:val="0"/>
                <w:sz w:val="18"/>
                <w:szCs w:val="18"/>
              </w:rPr>
              <w:t>80%，扣3分。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983"/>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宋体" w:hAnsi="宋体"/>
                <w:kern w:val="0"/>
                <w:sz w:val="18"/>
                <w:szCs w:val="18"/>
              </w:rPr>
              <w:t>4.建立健全劳动保护与安全生产管理制度，包括安全教</w:t>
            </w:r>
            <w:r>
              <w:rPr>
                <w:rFonts w:ascii="宋体" w:hAnsi="宋体" w:hint="eastAsia"/>
                <w:kern w:val="0"/>
                <w:sz w:val="18"/>
                <w:szCs w:val="18"/>
              </w:rPr>
              <w:t>育培训、事故隐患排查治理、劳动防护用品管理、危险作业管理（包括临时用电管理）、特种设备和特种作业人员管理（包括电工）、应急管理等各项安全规章制度。（</w:t>
            </w:r>
            <w:r>
              <w:rPr>
                <w:rFonts w:ascii="宋体" w:hAnsi="宋体"/>
                <w:kern w:val="0"/>
                <w:sz w:val="18"/>
                <w:szCs w:val="18"/>
              </w:rPr>
              <w:t>3分）</w:t>
            </w:r>
          </w:p>
        </w:tc>
        <w:tc>
          <w:tcPr>
            <w:tcW w:w="4546"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宋体" w:hAnsi="宋体" w:hint="eastAsia"/>
                <w:kern w:val="0"/>
                <w:sz w:val="18"/>
                <w:szCs w:val="18"/>
              </w:rPr>
              <w:t>未建立安全生产管理制度不得分，每缺一项制度扣</w:t>
            </w:r>
            <w:r>
              <w:rPr>
                <w:rFonts w:ascii="宋体" w:hAnsi="宋体"/>
                <w:kern w:val="0"/>
                <w:sz w:val="18"/>
                <w:szCs w:val="18"/>
              </w:rPr>
              <w:t>0.5分。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1102"/>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jc w:val="left"/>
              <w:rPr>
                <w:rFonts w:asciiTheme="minorEastAsia" w:eastAsiaTheme="minorEastAsia" w:hAnsiTheme="minorEastAsia"/>
                <w:kern w:val="0"/>
                <w:sz w:val="18"/>
                <w:szCs w:val="18"/>
              </w:rPr>
            </w:pPr>
            <w:r>
              <w:rPr>
                <w:rFonts w:ascii="宋体" w:hAnsi="宋体"/>
                <w:kern w:val="0"/>
                <w:sz w:val="18"/>
                <w:szCs w:val="18"/>
              </w:rPr>
              <w:t>5.建立完善的安全生产档案记录，包括</w:t>
            </w:r>
            <w:r>
              <w:rPr>
                <w:rFonts w:ascii="宋体" w:hAnsi="宋体" w:hint="eastAsia"/>
                <w:kern w:val="0"/>
                <w:sz w:val="18"/>
                <w:szCs w:val="18"/>
              </w:rPr>
              <w:t>签署</w:t>
            </w:r>
            <w:r>
              <w:rPr>
                <w:rFonts w:ascii="宋体" w:hAnsi="宋体"/>
                <w:kern w:val="0"/>
                <w:sz w:val="18"/>
                <w:szCs w:val="18"/>
              </w:rPr>
              <w:t>安全生产责</w:t>
            </w:r>
            <w:r>
              <w:rPr>
                <w:rFonts w:ascii="宋体" w:hAnsi="宋体" w:hint="eastAsia"/>
                <w:kern w:val="0"/>
                <w:sz w:val="18"/>
                <w:szCs w:val="18"/>
              </w:rPr>
              <w:t>任书、安全生产教育培训记录、安全生产事故隐患台账、特种设备和特种作业</w:t>
            </w:r>
            <w:proofErr w:type="gramStart"/>
            <w:r>
              <w:rPr>
                <w:rFonts w:ascii="宋体" w:hAnsi="宋体" w:hint="eastAsia"/>
                <w:kern w:val="0"/>
                <w:sz w:val="18"/>
                <w:szCs w:val="18"/>
              </w:rPr>
              <w:t>人员台</w:t>
            </w:r>
            <w:proofErr w:type="gramEnd"/>
            <w:r>
              <w:rPr>
                <w:rFonts w:ascii="宋体" w:hAnsi="宋体" w:hint="eastAsia"/>
                <w:kern w:val="0"/>
                <w:sz w:val="18"/>
                <w:szCs w:val="18"/>
              </w:rPr>
              <w:t>账（包括电工）、劳动防护用品发放记录、危险作业审批单、危险化学品领用记录、安全生产费用提取等档案。（</w:t>
            </w:r>
            <w:r>
              <w:rPr>
                <w:rFonts w:ascii="宋体" w:hAnsi="宋体"/>
                <w:kern w:val="0"/>
                <w:sz w:val="18"/>
                <w:szCs w:val="18"/>
              </w:rPr>
              <w:t>3分）</w:t>
            </w:r>
          </w:p>
        </w:tc>
        <w:tc>
          <w:tcPr>
            <w:tcW w:w="4546" w:type="dxa"/>
            <w:vAlign w:val="center"/>
          </w:tcPr>
          <w:p w:rsidR="009F3995" w:rsidRDefault="00A97DE9">
            <w:pPr>
              <w:adjustRightInd w:val="0"/>
              <w:snapToGrid w:val="0"/>
              <w:jc w:val="left"/>
              <w:rPr>
                <w:rFonts w:asciiTheme="minorEastAsia" w:eastAsiaTheme="minorEastAsia" w:hAnsiTheme="minorEastAsia"/>
                <w:kern w:val="0"/>
                <w:sz w:val="18"/>
                <w:szCs w:val="18"/>
              </w:rPr>
            </w:pPr>
            <w:r>
              <w:rPr>
                <w:rFonts w:ascii="宋体" w:hAnsi="宋体" w:hint="eastAsia"/>
                <w:kern w:val="0"/>
                <w:sz w:val="18"/>
                <w:szCs w:val="18"/>
              </w:rPr>
              <w:t>无安全生产档案或记录不得分，每缺一项记录扣</w:t>
            </w:r>
            <w:r>
              <w:rPr>
                <w:rFonts w:ascii="宋体" w:hAnsi="宋体"/>
                <w:kern w:val="0"/>
                <w:sz w:val="18"/>
                <w:szCs w:val="18"/>
              </w:rPr>
              <w:t>1分。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187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jc w:val="left"/>
              <w:rPr>
                <w:rFonts w:ascii="宋体" w:hAnsi="宋体"/>
                <w:kern w:val="0"/>
                <w:sz w:val="18"/>
                <w:szCs w:val="18"/>
              </w:rPr>
            </w:pPr>
            <w:r>
              <w:rPr>
                <w:rFonts w:ascii="宋体" w:hAnsi="宋体"/>
                <w:kern w:val="0"/>
                <w:sz w:val="18"/>
                <w:szCs w:val="18"/>
              </w:rPr>
              <w:t>6.</w:t>
            </w:r>
            <w:r>
              <w:rPr>
                <w:rFonts w:ascii="宋体" w:hAnsi="宋体" w:hint="eastAsia"/>
                <w:kern w:val="0"/>
                <w:sz w:val="18"/>
                <w:szCs w:val="18"/>
              </w:rPr>
              <w:t>企业需</w:t>
            </w:r>
            <w:r>
              <w:rPr>
                <w:rFonts w:ascii="宋体" w:hAnsi="宋体"/>
                <w:kern w:val="0"/>
                <w:sz w:val="18"/>
                <w:szCs w:val="18"/>
              </w:rPr>
              <w:t>制定岗位/工种安全操作规程，并发放</w:t>
            </w:r>
            <w:r>
              <w:rPr>
                <w:rFonts w:ascii="宋体" w:hAnsi="宋体" w:hint="eastAsia"/>
                <w:kern w:val="0"/>
                <w:sz w:val="18"/>
                <w:szCs w:val="18"/>
              </w:rPr>
              <w:t>（或张贴）到相关岗位；存在职业危害的，制定岗位职业健康操作规程；有危险作业的应当执行危险作业审批管理。</w:t>
            </w:r>
          </w:p>
          <w:p w:rsidR="009F3995" w:rsidRDefault="00A97DE9">
            <w:pPr>
              <w:adjustRightInd w:val="0"/>
              <w:snapToGrid w:val="0"/>
              <w:rPr>
                <w:rFonts w:ascii="宋体" w:hAnsi="宋体"/>
                <w:kern w:val="0"/>
                <w:sz w:val="18"/>
                <w:szCs w:val="18"/>
              </w:rPr>
            </w:pPr>
            <w:r>
              <w:rPr>
                <w:rFonts w:ascii="宋体" w:hAnsi="宋体" w:hint="eastAsia"/>
                <w:kern w:val="0"/>
                <w:sz w:val="18"/>
                <w:szCs w:val="18"/>
              </w:rPr>
              <w:t>事业单位各部门、各科室需制定并签署机构安全运行责任制，制定并落实上下班、交接班及节假日的安全管理制度。</w:t>
            </w:r>
          </w:p>
          <w:p w:rsidR="009F3995" w:rsidRDefault="00A97DE9">
            <w:pPr>
              <w:adjustRightInd w:val="0"/>
              <w:snapToGrid w:val="0"/>
              <w:rPr>
                <w:rFonts w:asciiTheme="minorEastAsia" w:eastAsiaTheme="minorEastAsia" w:hAnsiTheme="minorEastAsia"/>
                <w:kern w:val="0"/>
                <w:sz w:val="18"/>
                <w:szCs w:val="18"/>
              </w:rPr>
            </w:pPr>
            <w:r>
              <w:rPr>
                <w:rFonts w:ascii="宋体" w:hAnsi="宋体" w:hint="eastAsia"/>
                <w:kern w:val="0"/>
                <w:sz w:val="18"/>
                <w:szCs w:val="18"/>
              </w:rPr>
              <w:t>高校实验室制定安全运行作业指导书，并进行全员教育培训；存在职业危害的，制定实验室职业健康操作规程；有危险作业的应当执行危险作业审批管理。（</w:t>
            </w:r>
            <w:r>
              <w:rPr>
                <w:rFonts w:ascii="宋体" w:hAnsi="宋体"/>
                <w:kern w:val="0"/>
                <w:sz w:val="18"/>
                <w:szCs w:val="18"/>
              </w:rPr>
              <w:t>5分）</w:t>
            </w:r>
          </w:p>
        </w:tc>
        <w:tc>
          <w:tcPr>
            <w:tcW w:w="4546" w:type="dxa"/>
            <w:vAlign w:val="center"/>
          </w:tcPr>
          <w:p w:rsidR="009F3995" w:rsidRDefault="00A97DE9">
            <w:pPr>
              <w:adjustRightInd w:val="0"/>
              <w:snapToGrid w:val="0"/>
              <w:rPr>
                <w:rFonts w:ascii="宋体" w:hAnsi="宋体"/>
                <w:kern w:val="0"/>
                <w:sz w:val="18"/>
                <w:szCs w:val="18"/>
              </w:rPr>
            </w:pPr>
            <w:r>
              <w:rPr>
                <w:rFonts w:ascii="宋体" w:hAnsi="宋体" w:hint="eastAsia"/>
                <w:kern w:val="0"/>
                <w:sz w:val="18"/>
                <w:szCs w:val="18"/>
              </w:rPr>
              <w:t>企业安全操作规程未送达（或张贴）至岗位，每缺一个岗位或一台设备，扣</w:t>
            </w:r>
            <w:r>
              <w:rPr>
                <w:rFonts w:ascii="宋体" w:hAnsi="宋体"/>
                <w:kern w:val="0"/>
                <w:sz w:val="18"/>
                <w:szCs w:val="18"/>
              </w:rPr>
              <w:t>0.2分；存在职业危害岗位未制定职业健康操</w:t>
            </w:r>
            <w:r>
              <w:rPr>
                <w:rFonts w:ascii="宋体" w:hAnsi="宋体" w:hint="eastAsia"/>
                <w:kern w:val="0"/>
                <w:sz w:val="18"/>
                <w:szCs w:val="18"/>
              </w:rPr>
              <w:t>作规程，每缺一项扣</w:t>
            </w:r>
            <w:r>
              <w:rPr>
                <w:rFonts w:ascii="宋体" w:hAnsi="宋体"/>
                <w:kern w:val="0"/>
                <w:sz w:val="18"/>
                <w:szCs w:val="18"/>
              </w:rPr>
              <w:t>1分；危险作业未执行审批管理，扣1分。</w:t>
            </w:r>
          </w:p>
          <w:p w:rsidR="009F3995" w:rsidRDefault="00A97DE9">
            <w:pPr>
              <w:adjustRightInd w:val="0"/>
              <w:snapToGrid w:val="0"/>
              <w:rPr>
                <w:rFonts w:ascii="宋体" w:hAnsi="宋体"/>
                <w:kern w:val="0"/>
                <w:sz w:val="18"/>
                <w:szCs w:val="18"/>
              </w:rPr>
            </w:pPr>
            <w:r>
              <w:rPr>
                <w:rFonts w:ascii="宋体" w:hAnsi="宋体" w:hint="eastAsia"/>
                <w:kern w:val="0"/>
                <w:sz w:val="18"/>
                <w:szCs w:val="18"/>
              </w:rPr>
              <w:t>事业单位各部门、各科室未制定、未签署安全运行责任制（书），未制定上下班、交接班及节假日的安全管理制度，每缺一项，扣</w:t>
            </w:r>
            <w:r>
              <w:rPr>
                <w:rFonts w:ascii="宋体" w:hAnsi="宋体"/>
                <w:kern w:val="0"/>
                <w:sz w:val="18"/>
                <w:szCs w:val="18"/>
              </w:rPr>
              <w:t>2分</w:t>
            </w:r>
            <w:r>
              <w:rPr>
                <w:rFonts w:ascii="宋体" w:hAnsi="宋体" w:hint="eastAsia"/>
                <w:kern w:val="0"/>
                <w:sz w:val="18"/>
                <w:szCs w:val="18"/>
              </w:rPr>
              <w:t>。</w:t>
            </w:r>
          </w:p>
          <w:p w:rsidR="009F3995" w:rsidRDefault="00A97DE9">
            <w:pPr>
              <w:adjustRightInd w:val="0"/>
              <w:snapToGrid w:val="0"/>
              <w:rPr>
                <w:rFonts w:asciiTheme="minorEastAsia" w:eastAsiaTheme="minorEastAsia" w:hAnsiTheme="minorEastAsia" w:cs="宋体"/>
                <w:kern w:val="0"/>
                <w:sz w:val="18"/>
                <w:szCs w:val="18"/>
              </w:rPr>
            </w:pPr>
            <w:r>
              <w:rPr>
                <w:rFonts w:ascii="宋体" w:hAnsi="宋体" w:hint="eastAsia"/>
                <w:kern w:val="0"/>
                <w:sz w:val="18"/>
                <w:szCs w:val="18"/>
              </w:rPr>
              <w:t>高校</w:t>
            </w:r>
            <w:r>
              <w:rPr>
                <w:rFonts w:ascii="宋体" w:hAnsi="宋体"/>
                <w:kern w:val="0"/>
                <w:sz w:val="18"/>
                <w:szCs w:val="18"/>
              </w:rPr>
              <w:t>实验室未制</w:t>
            </w:r>
            <w:r>
              <w:rPr>
                <w:rFonts w:ascii="宋体" w:hAnsi="宋体" w:hint="eastAsia"/>
                <w:kern w:val="0"/>
                <w:sz w:val="18"/>
                <w:szCs w:val="18"/>
              </w:rPr>
              <w:t>定安全运行作业指导书，未进行全员教育培训，扣</w:t>
            </w:r>
            <w:r>
              <w:rPr>
                <w:rFonts w:ascii="宋体" w:hAnsi="宋体"/>
                <w:kern w:val="0"/>
                <w:sz w:val="18"/>
                <w:szCs w:val="18"/>
              </w:rPr>
              <w:t>2分；存</w:t>
            </w:r>
            <w:r>
              <w:rPr>
                <w:rFonts w:ascii="宋体" w:hAnsi="宋体" w:hint="eastAsia"/>
                <w:kern w:val="0"/>
                <w:sz w:val="18"/>
                <w:szCs w:val="18"/>
              </w:rPr>
              <w:t>在职业危害岗位未制定职业健康操作规程，</w:t>
            </w:r>
            <w:r>
              <w:rPr>
                <w:rFonts w:ascii="宋体" w:hAnsi="宋体" w:hint="eastAsia"/>
                <w:kern w:val="0"/>
                <w:sz w:val="18"/>
                <w:szCs w:val="18"/>
              </w:rPr>
              <w:lastRenderedPageBreak/>
              <w:t>扣</w:t>
            </w:r>
            <w:r>
              <w:rPr>
                <w:rFonts w:ascii="宋体" w:hAnsi="宋体"/>
                <w:kern w:val="0"/>
                <w:sz w:val="18"/>
                <w:szCs w:val="18"/>
              </w:rPr>
              <w:t>2分；危险作</w:t>
            </w:r>
            <w:r>
              <w:rPr>
                <w:rFonts w:ascii="宋体" w:hAnsi="宋体" w:hint="eastAsia"/>
                <w:kern w:val="0"/>
                <w:sz w:val="18"/>
                <w:szCs w:val="18"/>
              </w:rPr>
              <w:t>业未执行审批管理，扣</w:t>
            </w:r>
            <w:r>
              <w:rPr>
                <w:rFonts w:ascii="宋体" w:hAnsi="宋体"/>
                <w:kern w:val="0"/>
                <w:sz w:val="18"/>
                <w:szCs w:val="18"/>
              </w:rPr>
              <w:t>2分。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Merge w:val="restart"/>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kern w:val="0"/>
                <w:sz w:val="18"/>
                <w:szCs w:val="18"/>
              </w:rPr>
              <w:t>7.健全应急管理</w:t>
            </w:r>
            <w:r>
              <w:rPr>
                <w:rFonts w:ascii="宋体" w:hAnsi="宋体" w:cs="宋体" w:hint="eastAsia"/>
                <w:kern w:val="0"/>
                <w:sz w:val="18"/>
                <w:szCs w:val="18"/>
              </w:rPr>
              <w:t>体系</w:t>
            </w:r>
            <w:r>
              <w:rPr>
                <w:rFonts w:ascii="宋体" w:hAnsi="宋体" w:cs="宋体"/>
                <w:kern w:val="0"/>
                <w:sz w:val="18"/>
                <w:szCs w:val="18"/>
              </w:rPr>
              <w:t>，按照</w:t>
            </w:r>
            <w:r>
              <w:rPr>
                <w:rFonts w:ascii="宋体" w:hAnsi="宋体" w:cs="宋体" w:hint="eastAsia"/>
                <w:kern w:val="0"/>
                <w:sz w:val="18"/>
                <w:szCs w:val="18"/>
              </w:rPr>
              <w:t>应急管理部关于修改《生产安全事故应急预案管理办法》的决定（应急管理部2号令）和</w:t>
            </w:r>
            <w:r>
              <w:rPr>
                <w:rFonts w:ascii="宋体" w:hAnsi="宋体" w:cs="宋体"/>
                <w:kern w:val="0"/>
                <w:sz w:val="18"/>
                <w:szCs w:val="18"/>
              </w:rPr>
              <w:t>《生产经</w:t>
            </w:r>
            <w:r>
              <w:rPr>
                <w:rFonts w:ascii="宋体" w:hAnsi="宋体" w:cs="宋体" w:hint="eastAsia"/>
                <w:kern w:val="0"/>
                <w:sz w:val="18"/>
                <w:szCs w:val="18"/>
              </w:rPr>
              <w:t>营单位生产安全事故应急预案编制导则》</w:t>
            </w:r>
            <w:r>
              <w:rPr>
                <w:rFonts w:ascii="宋体" w:hAnsi="宋体" w:cs="宋体"/>
                <w:kern w:val="0"/>
                <w:sz w:val="18"/>
                <w:szCs w:val="18"/>
              </w:rPr>
              <w:t>(GBT29639-2013)相关要求，编制综合应急预案、专项应急预案</w:t>
            </w:r>
            <w:r>
              <w:rPr>
                <w:rFonts w:ascii="宋体" w:hAnsi="宋体" w:cs="宋体" w:hint="eastAsia"/>
                <w:kern w:val="0"/>
                <w:sz w:val="18"/>
                <w:szCs w:val="18"/>
              </w:rPr>
              <w:t>和现场处置方案。每年进行一次综合预案或专项预案演练，每半年至少组织一次现场处置方案演练，演练结束要进行效果评估。（</w:t>
            </w:r>
            <w:r>
              <w:rPr>
                <w:rFonts w:ascii="宋体" w:hAnsi="宋体" w:cs="宋体"/>
                <w:kern w:val="0"/>
                <w:sz w:val="18"/>
                <w:szCs w:val="18"/>
              </w:rPr>
              <w:t>5分）</w:t>
            </w:r>
          </w:p>
        </w:tc>
        <w:tc>
          <w:tcPr>
            <w:tcW w:w="4546" w:type="dxa"/>
            <w:vAlign w:val="center"/>
          </w:tcPr>
          <w:p w:rsidR="009F3995" w:rsidRDefault="00A97DE9">
            <w:pPr>
              <w:adjustRightInd w:val="0"/>
              <w:snapToGrid w:val="0"/>
              <w:jc w:val="left"/>
              <w:rPr>
                <w:rFonts w:asciiTheme="minorEastAsia" w:eastAsiaTheme="minorEastAsia" w:hAnsiTheme="minorEastAsia"/>
                <w:kern w:val="0"/>
                <w:sz w:val="18"/>
                <w:szCs w:val="18"/>
              </w:rPr>
            </w:pPr>
            <w:r>
              <w:rPr>
                <w:rFonts w:ascii="宋体" w:hAnsi="宋体" w:hint="eastAsia"/>
                <w:kern w:val="0"/>
                <w:sz w:val="18"/>
                <w:szCs w:val="18"/>
              </w:rPr>
              <w:t>未按照要求编制完善应急预案体系，扣</w:t>
            </w:r>
            <w:r>
              <w:rPr>
                <w:rFonts w:ascii="宋体" w:hAnsi="宋体"/>
                <w:kern w:val="0"/>
                <w:sz w:val="18"/>
                <w:szCs w:val="18"/>
              </w:rPr>
              <w:t>2分。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Merge/>
            <w:vAlign w:val="center"/>
          </w:tcPr>
          <w:p w:rsidR="009F3995" w:rsidRDefault="009F3995">
            <w:pPr>
              <w:rPr>
                <w:rFonts w:asciiTheme="minorEastAsia" w:eastAsiaTheme="minorEastAsia" w:hAnsiTheme="minorEastAsia"/>
              </w:rPr>
            </w:pPr>
          </w:p>
        </w:tc>
        <w:tc>
          <w:tcPr>
            <w:tcW w:w="4546" w:type="dxa"/>
            <w:vAlign w:val="center"/>
          </w:tcPr>
          <w:p w:rsidR="009F3995" w:rsidRDefault="00A97DE9">
            <w:pPr>
              <w:adjustRightInd w:val="0"/>
              <w:snapToGrid w:val="0"/>
              <w:jc w:val="left"/>
              <w:rPr>
                <w:rFonts w:asciiTheme="minorEastAsia" w:eastAsiaTheme="minorEastAsia" w:hAnsiTheme="minorEastAsia"/>
                <w:kern w:val="0"/>
                <w:sz w:val="18"/>
                <w:szCs w:val="18"/>
              </w:rPr>
            </w:pPr>
            <w:r>
              <w:rPr>
                <w:rFonts w:ascii="宋体" w:hAnsi="宋体" w:hint="eastAsia"/>
                <w:kern w:val="0"/>
                <w:sz w:val="18"/>
                <w:szCs w:val="18"/>
              </w:rPr>
              <w:t>未按照要求进行应急预案演练，扣</w:t>
            </w:r>
            <w:r>
              <w:rPr>
                <w:rFonts w:ascii="宋体" w:hAnsi="宋体"/>
                <w:kern w:val="0"/>
                <w:sz w:val="18"/>
                <w:szCs w:val="18"/>
              </w:rPr>
              <w:t>2分</w:t>
            </w:r>
            <w:r>
              <w:rPr>
                <w:rFonts w:ascii="宋体" w:hAnsi="宋体" w:hint="eastAsia"/>
                <w:kern w:val="0"/>
                <w:sz w:val="18"/>
                <w:szCs w:val="18"/>
              </w:rPr>
              <w:t>。</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Merge/>
            <w:vAlign w:val="center"/>
          </w:tcPr>
          <w:p w:rsidR="009F3995" w:rsidRDefault="009F3995">
            <w:pPr>
              <w:rPr>
                <w:rFonts w:asciiTheme="minorEastAsia" w:eastAsiaTheme="minorEastAsia" w:hAnsiTheme="minorEastAsia"/>
              </w:rPr>
            </w:pPr>
          </w:p>
        </w:tc>
        <w:tc>
          <w:tcPr>
            <w:tcW w:w="4546" w:type="dxa"/>
            <w:vAlign w:val="center"/>
          </w:tcPr>
          <w:p w:rsidR="009F3995" w:rsidRDefault="00A97DE9">
            <w:pPr>
              <w:adjustRightInd w:val="0"/>
              <w:snapToGrid w:val="0"/>
              <w:jc w:val="left"/>
              <w:rPr>
                <w:rFonts w:asciiTheme="minorEastAsia" w:eastAsiaTheme="minorEastAsia" w:hAnsiTheme="minorEastAsia"/>
                <w:kern w:val="0"/>
                <w:sz w:val="18"/>
                <w:szCs w:val="18"/>
              </w:rPr>
            </w:pPr>
            <w:r>
              <w:rPr>
                <w:rFonts w:ascii="宋体" w:hAnsi="宋体" w:hint="eastAsia"/>
                <w:kern w:val="0"/>
                <w:sz w:val="18"/>
                <w:szCs w:val="18"/>
              </w:rPr>
              <w:t>未按照要求对演练效果进行评估，扣</w:t>
            </w:r>
            <w:r>
              <w:rPr>
                <w:rFonts w:ascii="宋体" w:hAnsi="宋体"/>
                <w:kern w:val="0"/>
                <w:sz w:val="18"/>
                <w:szCs w:val="18"/>
              </w:rPr>
              <w:t>1分</w:t>
            </w:r>
            <w:r>
              <w:rPr>
                <w:rFonts w:ascii="宋体" w:hAnsi="宋体" w:hint="eastAsia"/>
                <w:kern w:val="0"/>
                <w:sz w:val="18"/>
                <w:szCs w:val="18"/>
              </w:rPr>
              <w:t>。</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1404"/>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kern w:val="0"/>
                <w:sz w:val="18"/>
                <w:szCs w:val="18"/>
              </w:rPr>
              <w:t>8.现场</w:t>
            </w:r>
            <w:r>
              <w:rPr>
                <w:rFonts w:ascii="宋体" w:hAnsi="宋体" w:cs="宋体" w:hint="eastAsia"/>
                <w:kern w:val="0"/>
                <w:sz w:val="18"/>
                <w:szCs w:val="18"/>
              </w:rPr>
              <w:t>安全</w:t>
            </w:r>
            <w:r>
              <w:rPr>
                <w:rFonts w:ascii="宋体" w:hAnsi="宋体" w:cs="宋体"/>
                <w:kern w:val="0"/>
                <w:sz w:val="18"/>
                <w:szCs w:val="18"/>
              </w:rPr>
              <w:t>管理</w:t>
            </w:r>
            <w:r>
              <w:rPr>
                <w:rFonts w:ascii="宋体" w:hAnsi="宋体" w:cs="宋体" w:hint="eastAsia"/>
                <w:kern w:val="0"/>
                <w:sz w:val="18"/>
                <w:szCs w:val="18"/>
              </w:rPr>
              <w:t>有序</w:t>
            </w:r>
            <w:r>
              <w:rPr>
                <w:rFonts w:ascii="宋体" w:hAnsi="宋体" w:cs="宋体"/>
                <w:kern w:val="0"/>
                <w:sz w:val="18"/>
                <w:szCs w:val="18"/>
              </w:rPr>
              <w:t>，消防设施配备齐全有效，电</w:t>
            </w:r>
            <w:r>
              <w:rPr>
                <w:rFonts w:ascii="宋体" w:hAnsi="宋体" w:cs="宋体" w:hint="eastAsia"/>
                <w:kern w:val="0"/>
                <w:sz w:val="18"/>
                <w:szCs w:val="18"/>
              </w:rPr>
              <w:t>气设备设施运行良好，无明显隐患，特种设备检测合格，危险化学品管理规范，警示标识齐全等。设有使用危险化学品实验室的工业企业，严格落实《实验室危险化学品安全管理规范第</w:t>
            </w:r>
            <w:r>
              <w:rPr>
                <w:rFonts w:ascii="宋体" w:hAnsi="宋体" w:cs="宋体"/>
                <w:kern w:val="0"/>
                <w:sz w:val="18"/>
                <w:szCs w:val="18"/>
              </w:rPr>
              <w:t>1部分：工业企</w:t>
            </w:r>
            <w:r>
              <w:rPr>
                <w:rFonts w:ascii="宋体" w:hAnsi="宋体" w:cs="宋体" w:hint="eastAsia"/>
                <w:kern w:val="0"/>
                <w:sz w:val="18"/>
                <w:szCs w:val="18"/>
              </w:rPr>
              <w:t>业》（</w:t>
            </w:r>
            <w:r>
              <w:rPr>
                <w:rFonts w:ascii="宋体" w:hAnsi="宋体" w:cs="宋体"/>
                <w:kern w:val="0"/>
                <w:sz w:val="18"/>
                <w:szCs w:val="18"/>
              </w:rPr>
              <w:t>DB 11T 1191.1—2018）相关规定</w:t>
            </w:r>
            <w:r>
              <w:rPr>
                <w:rFonts w:ascii="宋体" w:hAnsi="宋体" w:cs="宋体" w:hint="eastAsia"/>
                <w:kern w:val="0"/>
                <w:sz w:val="18"/>
                <w:szCs w:val="18"/>
              </w:rPr>
              <w:t>，实验室人员应具备危险化学品安全使用知识和危险化学品事故应急处置能力</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10分）</w:t>
            </w:r>
          </w:p>
        </w:tc>
        <w:tc>
          <w:tcPr>
            <w:tcW w:w="4546" w:type="dxa"/>
            <w:vAlign w:val="center"/>
          </w:tcPr>
          <w:p w:rsidR="009F3995" w:rsidRDefault="00A97DE9">
            <w:pPr>
              <w:adjustRightInd w:val="0"/>
              <w:snapToGrid w:val="0"/>
              <w:jc w:val="left"/>
              <w:rPr>
                <w:rFonts w:asciiTheme="minorEastAsia" w:eastAsiaTheme="minorEastAsia" w:hAnsiTheme="minorEastAsia"/>
                <w:kern w:val="0"/>
                <w:sz w:val="18"/>
                <w:szCs w:val="18"/>
              </w:rPr>
            </w:pPr>
            <w:r>
              <w:rPr>
                <w:rFonts w:ascii="宋体" w:hAnsi="宋体" w:hint="eastAsia"/>
                <w:kern w:val="0"/>
                <w:sz w:val="18"/>
                <w:szCs w:val="18"/>
              </w:rPr>
              <w:t>现场每发现</w:t>
            </w:r>
            <w:r>
              <w:rPr>
                <w:rFonts w:ascii="宋体" w:hAnsi="宋体"/>
                <w:kern w:val="0"/>
                <w:sz w:val="18"/>
                <w:szCs w:val="18"/>
              </w:rPr>
              <w:t>1处隐患扣0.5分；无相关佐证材料的酌情扣分</w:t>
            </w:r>
            <w:r>
              <w:rPr>
                <w:rFonts w:ascii="宋体" w:hAnsi="宋体" w:hint="eastAsia"/>
                <w:kern w:val="0"/>
                <w:sz w:val="18"/>
                <w:szCs w:val="18"/>
              </w:rPr>
              <w:t>。</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restart"/>
            <w:vAlign w:val="center"/>
          </w:tcPr>
          <w:p w:rsidR="009F3995" w:rsidRDefault="00A97DE9">
            <w:pPr>
              <w:widowControl/>
              <w:adjustRightInd w:val="0"/>
              <w:snapToGrid w:val="0"/>
              <w:jc w:val="left"/>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劳动保护</w:t>
            </w:r>
            <w:r>
              <w:rPr>
                <w:rFonts w:asciiTheme="minorEastAsia" w:eastAsiaTheme="minorEastAsia" w:hAnsiTheme="minorEastAsia"/>
                <w:b/>
                <w:kern w:val="0"/>
                <w:sz w:val="18"/>
                <w:szCs w:val="18"/>
              </w:rPr>
              <w:t>与职业健康</w:t>
            </w:r>
          </w:p>
          <w:p w:rsidR="009F3995" w:rsidRDefault="00A97DE9">
            <w:pPr>
              <w:widowControl/>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w:t>
            </w:r>
            <w:r>
              <w:rPr>
                <w:rFonts w:asciiTheme="minorEastAsia" w:eastAsiaTheme="minorEastAsia" w:hAnsiTheme="minorEastAsia"/>
                <w:b/>
                <w:kern w:val="0"/>
                <w:sz w:val="18"/>
                <w:szCs w:val="18"/>
              </w:rPr>
              <w:t>25</w:t>
            </w:r>
            <w:r>
              <w:rPr>
                <w:rFonts w:asciiTheme="minorEastAsia" w:eastAsiaTheme="minorEastAsia" w:hAnsiTheme="minorEastAsia" w:hint="eastAsia"/>
                <w:b/>
                <w:kern w:val="0"/>
                <w:sz w:val="18"/>
                <w:szCs w:val="18"/>
              </w:rPr>
              <w:t>分）</w:t>
            </w:r>
          </w:p>
        </w:tc>
        <w:tc>
          <w:tcPr>
            <w:tcW w:w="5245"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kern w:val="0"/>
                <w:sz w:val="18"/>
                <w:szCs w:val="18"/>
              </w:rPr>
              <w:t>1.作业环境符合国家规定，作业场所中尘、</w:t>
            </w:r>
            <w:proofErr w:type="gramStart"/>
            <w:r>
              <w:rPr>
                <w:rFonts w:ascii="宋体" w:hAnsi="宋体" w:cs="宋体"/>
                <w:kern w:val="0"/>
                <w:sz w:val="18"/>
                <w:szCs w:val="18"/>
              </w:rPr>
              <w:t>毒控制</w:t>
            </w:r>
            <w:proofErr w:type="gramEnd"/>
            <w:r>
              <w:rPr>
                <w:rFonts w:ascii="宋体" w:hAnsi="宋体" w:cs="宋体"/>
                <w:kern w:val="0"/>
                <w:sz w:val="18"/>
                <w:szCs w:val="18"/>
              </w:rPr>
              <w:t>在国</w:t>
            </w:r>
            <w:r>
              <w:rPr>
                <w:rFonts w:ascii="宋体" w:hAnsi="宋体" w:cs="宋体" w:hint="eastAsia"/>
                <w:kern w:val="0"/>
                <w:sz w:val="18"/>
                <w:szCs w:val="18"/>
              </w:rPr>
              <w:t>家标准要求范围内，努力改善作业环境。（</w:t>
            </w:r>
            <w:r>
              <w:rPr>
                <w:rFonts w:ascii="宋体" w:hAnsi="宋体" w:cs="宋体"/>
                <w:kern w:val="0"/>
                <w:sz w:val="18"/>
                <w:szCs w:val="18"/>
              </w:rPr>
              <w:t>4分）</w:t>
            </w: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作业环境、通道、物品码放等有不符合规定，每处扣</w:t>
            </w:r>
            <w:r>
              <w:rPr>
                <w:rFonts w:ascii="宋体" w:hAnsi="宋体" w:cs="宋体"/>
                <w:kern w:val="0"/>
                <w:sz w:val="18"/>
                <w:szCs w:val="18"/>
              </w:rPr>
              <w:t>1</w:t>
            </w:r>
            <w:r>
              <w:rPr>
                <w:rFonts w:ascii="宋体" w:hAnsi="宋体" w:cs="宋体" w:hint="eastAsia"/>
                <w:kern w:val="0"/>
                <w:sz w:val="18"/>
                <w:szCs w:val="18"/>
              </w:rPr>
              <w:t>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kern w:val="0"/>
                <w:sz w:val="18"/>
                <w:szCs w:val="18"/>
              </w:rPr>
              <w:t>2.</w:t>
            </w:r>
            <w:r>
              <w:rPr>
                <w:rFonts w:ascii="宋体" w:hAnsi="宋体" w:cs="宋体" w:hint="eastAsia"/>
                <w:kern w:val="0"/>
                <w:sz w:val="18"/>
                <w:szCs w:val="18"/>
              </w:rPr>
              <w:t>将</w:t>
            </w:r>
            <w:r>
              <w:rPr>
                <w:rFonts w:ascii="宋体" w:hAnsi="宋体" w:cs="宋体"/>
                <w:kern w:val="0"/>
                <w:sz w:val="18"/>
                <w:szCs w:val="18"/>
              </w:rPr>
              <w:t>劳动安全卫生、女职工和未成年的特殊保护、工</w:t>
            </w:r>
            <w:r>
              <w:rPr>
                <w:rFonts w:ascii="宋体" w:hAnsi="宋体" w:cs="宋体" w:hint="eastAsia"/>
                <w:kern w:val="0"/>
                <w:sz w:val="18"/>
                <w:szCs w:val="18"/>
              </w:rPr>
              <w:t>作时间、休息休假等条款列入《集体合同》或单独签订《劳动安全卫生专项集体合同》。（</w:t>
            </w:r>
            <w:r>
              <w:rPr>
                <w:rFonts w:ascii="宋体" w:hAnsi="宋体" w:cs="宋体"/>
                <w:kern w:val="0"/>
                <w:sz w:val="18"/>
                <w:szCs w:val="18"/>
              </w:rPr>
              <w:t>2分）</w:t>
            </w: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每有一项未列入《集体合同》扣</w:t>
            </w:r>
            <w:r>
              <w:rPr>
                <w:rFonts w:ascii="宋体" w:hAnsi="宋体" w:cs="宋体"/>
                <w:kern w:val="0"/>
                <w:sz w:val="18"/>
                <w:szCs w:val="18"/>
              </w:rPr>
              <w:t>0.5分。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3.认真贯彻工会劳动保护监督检查“三个条例”，健全</w:t>
            </w:r>
            <w:r>
              <w:rPr>
                <w:rFonts w:ascii="宋体" w:hAnsi="宋体" w:cs="宋体" w:hint="eastAsia"/>
                <w:kern w:val="0"/>
                <w:sz w:val="18"/>
                <w:szCs w:val="18"/>
              </w:rPr>
              <w:t>三级工会劳动保护监督检查网络，加强工会劳动保护监督检查员考核及管理。（</w:t>
            </w:r>
            <w:r>
              <w:rPr>
                <w:rFonts w:ascii="宋体" w:hAnsi="宋体" w:cs="宋体"/>
                <w:kern w:val="0"/>
                <w:sz w:val="18"/>
                <w:szCs w:val="18"/>
              </w:rPr>
              <w:t>3分）</w:t>
            </w: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无相关佐证材料的酌情扣分。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4.重视职业病防治工作，开展“职业病防治法宣传周”</w:t>
            </w:r>
            <w:r>
              <w:rPr>
                <w:rFonts w:ascii="宋体" w:hAnsi="宋体" w:cs="宋体" w:hint="eastAsia"/>
                <w:kern w:val="0"/>
                <w:sz w:val="18"/>
                <w:szCs w:val="18"/>
              </w:rPr>
              <w:t>活动，进行职业健康检查。（</w:t>
            </w:r>
            <w:r>
              <w:rPr>
                <w:rFonts w:ascii="宋体" w:hAnsi="宋体" w:cs="宋体"/>
                <w:kern w:val="0"/>
                <w:sz w:val="18"/>
                <w:szCs w:val="18"/>
              </w:rPr>
              <w:t>4分）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未进行职业健康检查扣</w:t>
            </w:r>
            <w:r>
              <w:rPr>
                <w:rFonts w:ascii="宋体" w:hAnsi="宋体" w:cs="宋体"/>
                <w:kern w:val="0"/>
                <w:sz w:val="18"/>
                <w:szCs w:val="18"/>
              </w:rPr>
              <w:t>2分，未组织宣传活动扣2分。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7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5.</w:t>
            </w:r>
            <w:r>
              <w:rPr>
                <w:rFonts w:ascii="宋体" w:hAnsi="宋体" w:cs="宋体" w:hint="eastAsia"/>
                <w:kern w:val="0"/>
                <w:sz w:val="18"/>
                <w:szCs w:val="18"/>
              </w:rPr>
              <w:t>严格落实市委市政府疫情防控有关工作要求，明确疫情防控主</w:t>
            </w:r>
            <w:proofErr w:type="gramStart"/>
            <w:r>
              <w:rPr>
                <w:rFonts w:ascii="宋体" w:hAnsi="宋体" w:cs="宋体" w:hint="eastAsia"/>
                <w:kern w:val="0"/>
                <w:sz w:val="18"/>
                <w:szCs w:val="18"/>
              </w:rPr>
              <w:t>责部门</w:t>
            </w:r>
            <w:proofErr w:type="gramEnd"/>
            <w:r>
              <w:rPr>
                <w:rFonts w:ascii="宋体" w:hAnsi="宋体" w:cs="宋体" w:hint="eastAsia"/>
                <w:kern w:val="0"/>
                <w:sz w:val="18"/>
                <w:szCs w:val="18"/>
              </w:rPr>
              <w:t>和责任人，做到疫情防控工作有组织、有人员、有措施。（5分）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无相关佐证材料的酌情扣分。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6</w:t>
            </w:r>
            <w:r>
              <w:rPr>
                <w:rFonts w:ascii="宋体" w:hAnsi="宋体" w:cs="宋体"/>
                <w:kern w:val="0"/>
                <w:sz w:val="18"/>
                <w:szCs w:val="18"/>
              </w:rPr>
              <w:t>.积极组织职工参加职业健康知识培训，在重点区域或</w:t>
            </w:r>
            <w:r>
              <w:rPr>
                <w:rFonts w:ascii="宋体" w:hAnsi="宋体" w:cs="宋体" w:hint="eastAsia"/>
                <w:kern w:val="0"/>
                <w:sz w:val="18"/>
                <w:szCs w:val="18"/>
              </w:rPr>
              <w:t>行业开展职业健康宣讲活动。（</w:t>
            </w:r>
            <w:r>
              <w:rPr>
                <w:rFonts w:ascii="宋体" w:hAnsi="宋体" w:cs="宋体"/>
                <w:kern w:val="0"/>
                <w:sz w:val="18"/>
                <w:szCs w:val="18"/>
              </w:rPr>
              <w:t>4分）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无相关佐证材料的酌情扣分。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388"/>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7.重视女工劳动保护，认真</w:t>
            </w:r>
            <w:proofErr w:type="gramStart"/>
            <w:r>
              <w:rPr>
                <w:rFonts w:ascii="宋体" w:hAnsi="宋体" w:cs="宋体" w:hint="eastAsia"/>
                <w:kern w:val="0"/>
                <w:sz w:val="18"/>
                <w:szCs w:val="18"/>
              </w:rPr>
              <w:t>做好女</w:t>
            </w:r>
            <w:proofErr w:type="gramEnd"/>
            <w:r>
              <w:rPr>
                <w:rFonts w:ascii="宋体" w:hAnsi="宋体" w:cs="宋体" w:hint="eastAsia"/>
                <w:kern w:val="0"/>
                <w:sz w:val="18"/>
                <w:szCs w:val="18"/>
              </w:rPr>
              <w:t>职工“四期”保护。（1分）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无相关佐证材料的酌情扣分</w:t>
            </w:r>
            <w:r>
              <w:rPr>
                <w:rFonts w:ascii="宋体" w:hAnsi="宋体" w:cs="宋体" w:hint="eastAsia"/>
                <w:kern w:val="0"/>
                <w:sz w:val="18"/>
                <w:szCs w:val="18"/>
              </w:rPr>
              <w:t>。</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1155"/>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8.深入宣传和贯彻落实《中华人民共和国工会法》、 《中华人民共和国职业病防治法》、《北京市生产安全事故隐患排查治理办法》（北京市人民政府令第266号）、《北京市生产经营单位安全生产主体责任</w:t>
            </w:r>
            <w:r>
              <w:rPr>
                <w:rFonts w:ascii="宋体" w:hAnsi="宋体" w:cs="宋体" w:hint="eastAsia"/>
                <w:kern w:val="0"/>
                <w:sz w:val="18"/>
                <w:szCs w:val="18"/>
              </w:rPr>
              <w:t>规定</w:t>
            </w:r>
            <w:r>
              <w:rPr>
                <w:rFonts w:ascii="宋体" w:hAnsi="宋体" w:cs="宋体"/>
                <w:kern w:val="0"/>
                <w:sz w:val="18"/>
                <w:szCs w:val="18"/>
              </w:rPr>
              <w:t>》（北京市人民政府令第285号）、《北京市企业安全生产标准化建设管理办法》（京安发〔2017〕13号） 等相关法律法规和政策。（2分）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有计划、有记录、有展示，无相关佐证材料的酌情扣分。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413"/>
          <w:jc w:val="center"/>
        </w:trPr>
        <w:tc>
          <w:tcPr>
            <w:tcW w:w="1135" w:type="dxa"/>
            <w:vMerge w:val="restart"/>
            <w:vAlign w:val="center"/>
          </w:tcPr>
          <w:p w:rsidR="009F3995" w:rsidRDefault="00A97DE9">
            <w:pPr>
              <w:adjustRightInd w:val="0"/>
              <w:snapToGrid w:val="0"/>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基层组织</w:t>
            </w:r>
          </w:p>
          <w:p w:rsidR="009F3995" w:rsidRDefault="00A97DE9">
            <w:pPr>
              <w:adjustRightInd w:val="0"/>
              <w:snapToGrid w:val="0"/>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安全建设（</w:t>
            </w:r>
            <w:r>
              <w:rPr>
                <w:rFonts w:asciiTheme="minorEastAsia" w:eastAsiaTheme="minorEastAsia" w:hAnsiTheme="minorEastAsia"/>
                <w:b/>
                <w:kern w:val="0"/>
                <w:sz w:val="18"/>
                <w:szCs w:val="18"/>
              </w:rPr>
              <w:t>15分）</w:t>
            </w: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1.各基层组织领导担任工会小组长。（2分）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各基层组织领导未担任工会小组长扣</w:t>
            </w:r>
            <w:r>
              <w:rPr>
                <w:rFonts w:ascii="宋体" w:hAnsi="宋体" w:cs="宋体"/>
                <w:kern w:val="0"/>
                <w:sz w:val="18"/>
                <w:szCs w:val="18"/>
              </w:rPr>
              <w:t>2分</w:t>
            </w:r>
            <w:r>
              <w:rPr>
                <w:rFonts w:ascii="宋体" w:hAnsi="宋体" w:cs="宋体" w:hint="eastAsia"/>
                <w:kern w:val="0"/>
                <w:sz w:val="18"/>
                <w:szCs w:val="18"/>
              </w:rPr>
              <w:t>。</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2.重视基层组织安全建设，积极开展安全生产合理化建</w:t>
            </w:r>
            <w:r>
              <w:rPr>
                <w:rFonts w:ascii="宋体" w:hAnsi="宋体" w:cs="宋体" w:hint="eastAsia"/>
                <w:kern w:val="0"/>
                <w:sz w:val="18"/>
                <w:szCs w:val="18"/>
              </w:rPr>
              <w:t>议活动，征集上报安全生产合理化建议。（</w:t>
            </w:r>
            <w:r>
              <w:rPr>
                <w:rFonts w:ascii="宋体" w:hAnsi="宋体" w:cs="宋体"/>
                <w:kern w:val="0"/>
                <w:sz w:val="18"/>
                <w:szCs w:val="18"/>
              </w:rPr>
              <w:t>2分）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无相关佐证材料的酌</w:t>
            </w:r>
            <w:bookmarkStart w:id="0" w:name="_GoBack"/>
            <w:bookmarkEnd w:id="0"/>
            <w:r>
              <w:rPr>
                <w:rFonts w:ascii="宋体" w:hAnsi="宋体" w:cs="宋体" w:hint="eastAsia"/>
                <w:kern w:val="0"/>
                <w:sz w:val="18"/>
                <w:szCs w:val="18"/>
              </w:rPr>
              <w:t>情扣分。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3.通过多种形式广泛开展基层组织安全宣传教育活</w:t>
            </w:r>
            <w:r>
              <w:rPr>
                <w:rFonts w:ascii="宋体" w:hAnsi="宋体" w:cs="宋体" w:hint="eastAsia"/>
                <w:kern w:val="0"/>
                <w:sz w:val="18"/>
                <w:szCs w:val="18"/>
              </w:rPr>
              <w:t>动，如安全生产例会，班前会、班后会、基层岗位“师带徒”、“传帮带”等形式。（</w:t>
            </w:r>
            <w:r>
              <w:rPr>
                <w:rFonts w:ascii="宋体" w:hAnsi="宋体" w:cs="宋体"/>
                <w:kern w:val="0"/>
                <w:sz w:val="18"/>
                <w:szCs w:val="18"/>
              </w:rPr>
              <w:t>3分）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无相关佐证材料的酌情扣分。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4.基层组织安全事故隐患整改率较高。（3分）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安全事故隐患整改率低于</w:t>
            </w:r>
            <w:r>
              <w:rPr>
                <w:rFonts w:ascii="宋体" w:hAnsi="宋体" w:cs="宋体"/>
                <w:kern w:val="0"/>
                <w:sz w:val="18"/>
                <w:szCs w:val="18"/>
              </w:rPr>
              <w:t>80%扣3分。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5.建立</w:t>
            </w:r>
            <w:r>
              <w:rPr>
                <w:rFonts w:ascii="宋体" w:hAnsi="宋体" w:cs="宋体" w:hint="eastAsia"/>
                <w:kern w:val="0"/>
                <w:sz w:val="18"/>
                <w:szCs w:val="18"/>
              </w:rPr>
              <w:t>基层组织（车间、班组、岗位）</w:t>
            </w:r>
            <w:r>
              <w:rPr>
                <w:rFonts w:ascii="宋体" w:hAnsi="宋体" w:cs="宋体"/>
                <w:kern w:val="0"/>
                <w:sz w:val="18"/>
                <w:szCs w:val="18"/>
              </w:rPr>
              <w:t>安全生产隐患排查清单</w:t>
            </w:r>
            <w:r>
              <w:rPr>
                <w:rFonts w:ascii="宋体" w:hAnsi="宋体" w:cs="宋体" w:hint="eastAsia"/>
                <w:kern w:val="0"/>
                <w:sz w:val="18"/>
                <w:szCs w:val="18"/>
              </w:rPr>
              <w:t>（排查标准）。（</w:t>
            </w:r>
            <w:r>
              <w:rPr>
                <w:rFonts w:ascii="宋体" w:hAnsi="宋体" w:cs="宋体"/>
                <w:kern w:val="0"/>
                <w:sz w:val="18"/>
                <w:szCs w:val="18"/>
              </w:rPr>
              <w:t>3分）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未建立基层组织隐患排查清单（排查标准）扣</w:t>
            </w:r>
            <w:r>
              <w:rPr>
                <w:rFonts w:ascii="宋体" w:hAnsi="宋体" w:cs="宋体"/>
                <w:kern w:val="0"/>
                <w:sz w:val="18"/>
                <w:szCs w:val="18"/>
              </w:rPr>
              <w:t>3分。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680"/>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6.组织开展岗位安全技能培训、安全管理优秀成果展示</w:t>
            </w:r>
            <w:r>
              <w:rPr>
                <w:rFonts w:ascii="宋体" w:hAnsi="宋体" w:cs="宋体" w:hint="eastAsia"/>
                <w:kern w:val="0"/>
                <w:sz w:val="18"/>
                <w:szCs w:val="18"/>
              </w:rPr>
              <w:t>等基层组织安全文化活动。（</w:t>
            </w:r>
            <w:r>
              <w:rPr>
                <w:rFonts w:ascii="宋体" w:hAnsi="宋体" w:cs="宋体"/>
                <w:kern w:val="0"/>
                <w:sz w:val="18"/>
                <w:szCs w:val="18"/>
              </w:rPr>
              <w:t>2分）</w:t>
            </w:r>
          </w:p>
        </w:tc>
        <w:tc>
          <w:tcPr>
            <w:tcW w:w="4546"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hint="eastAsia"/>
                <w:kern w:val="0"/>
                <w:sz w:val="18"/>
                <w:szCs w:val="18"/>
              </w:rPr>
              <w:t>无相关佐证材料的酌情扣分。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792"/>
          <w:jc w:val="center"/>
        </w:trPr>
        <w:tc>
          <w:tcPr>
            <w:tcW w:w="1135" w:type="dxa"/>
            <w:vMerge w:val="restart"/>
            <w:vAlign w:val="center"/>
          </w:tcPr>
          <w:p w:rsidR="009F3995" w:rsidRDefault="00A97DE9">
            <w:pPr>
              <w:adjustRightInd w:val="0"/>
              <w:snapToGrid w:val="0"/>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群众监督</w:t>
            </w:r>
          </w:p>
          <w:p w:rsidR="009F3995" w:rsidRDefault="00A97DE9">
            <w:pPr>
              <w:adjustRightInd w:val="0"/>
              <w:snapToGrid w:val="0"/>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参与</w:t>
            </w:r>
          </w:p>
          <w:p w:rsidR="009F3995" w:rsidRDefault="00A97DE9">
            <w:pPr>
              <w:adjustRightInd w:val="0"/>
              <w:snapToGrid w:val="0"/>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（1</w:t>
            </w:r>
            <w:r>
              <w:rPr>
                <w:rFonts w:asciiTheme="minorEastAsia" w:eastAsiaTheme="minorEastAsia" w:hAnsiTheme="minorEastAsia"/>
                <w:b/>
                <w:kern w:val="0"/>
                <w:sz w:val="18"/>
                <w:szCs w:val="18"/>
              </w:rPr>
              <w:t>3</w:t>
            </w:r>
            <w:r>
              <w:rPr>
                <w:rFonts w:asciiTheme="minorEastAsia" w:eastAsiaTheme="minorEastAsia" w:hAnsiTheme="minorEastAsia" w:hint="eastAsia"/>
                <w:b/>
                <w:kern w:val="0"/>
                <w:sz w:val="18"/>
                <w:szCs w:val="18"/>
              </w:rPr>
              <w:t>分）</w:t>
            </w: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1.建立企业重大安全隐患治理情况向负有安全生产监督</w:t>
            </w:r>
            <w:r>
              <w:rPr>
                <w:rFonts w:ascii="宋体" w:hAnsi="宋体" w:cs="宋体" w:hint="eastAsia"/>
                <w:kern w:val="0"/>
                <w:sz w:val="18"/>
                <w:szCs w:val="18"/>
              </w:rPr>
              <w:t>管理职责的部门和公司职代会“双报告”制度。（</w:t>
            </w:r>
            <w:r>
              <w:rPr>
                <w:rFonts w:ascii="宋体" w:hAnsi="宋体" w:cs="宋体"/>
                <w:kern w:val="0"/>
                <w:sz w:val="18"/>
                <w:szCs w:val="18"/>
              </w:rPr>
              <w:t>2分）</w:t>
            </w: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未建立“双报告”制度扣</w:t>
            </w:r>
            <w:r>
              <w:rPr>
                <w:rFonts w:ascii="宋体" w:hAnsi="宋体" w:cs="宋体"/>
                <w:kern w:val="0"/>
                <w:sz w:val="18"/>
                <w:szCs w:val="18"/>
              </w:rPr>
              <w:t>2分</w:t>
            </w:r>
            <w:r>
              <w:rPr>
                <w:rFonts w:ascii="宋体" w:hAnsi="宋体" w:cs="宋体" w:hint="eastAsia"/>
                <w:kern w:val="0"/>
                <w:sz w:val="18"/>
                <w:szCs w:val="18"/>
              </w:rPr>
              <w:t>。</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932"/>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2.发动职工群众对企业执行安全生产</w:t>
            </w:r>
            <w:r>
              <w:rPr>
                <w:rFonts w:ascii="宋体" w:hAnsi="宋体" w:cs="宋体" w:hint="eastAsia"/>
                <w:kern w:val="0"/>
                <w:sz w:val="18"/>
                <w:szCs w:val="18"/>
              </w:rPr>
              <w:t>和职业病防治</w:t>
            </w:r>
            <w:r>
              <w:rPr>
                <w:rFonts w:ascii="宋体" w:hAnsi="宋体" w:cs="宋体"/>
                <w:kern w:val="0"/>
                <w:sz w:val="18"/>
                <w:szCs w:val="18"/>
              </w:rPr>
              <w:t>法律法规情况进行</w:t>
            </w:r>
            <w:r>
              <w:rPr>
                <w:rFonts w:ascii="宋体" w:hAnsi="宋体" w:cs="宋体" w:hint="eastAsia"/>
                <w:kern w:val="0"/>
                <w:sz w:val="18"/>
                <w:szCs w:val="18"/>
              </w:rPr>
              <w:t>民主监督，企业法定代表人每年至少要向职代会报告一次安全生产工作情况。（</w:t>
            </w:r>
            <w:r>
              <w:rPr>
                <w:rFonts w:ascii="宋体" w:hAnsi="宋体" w:cs="宋体"/>
                <w:kern w:val="0"/>
                <w:sz w:val="18"/>
                <w:szCs w:val="18"/>
              </w:rPr>
              <w:t>3分）</w:t>
            </w: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无监督机制的扣</w:t>
            </w:r>
            <w:r>
              <w:rPr>
                <w:rFonts w:ascii="宋体" w:hAnsi="宋体" w:cs="宋体"/>
                <w:kern w:val="0"/>
                <w:sz w:val="18"/>
                <w:szCs w:val="18"/>
              </w:rPr>
              <w:t>3分，监督机制不健全的酌情扣分。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737"/>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3.建立安全信息沟通机制；员工反映问题渠道畅通。（3分）</w:t>
            </w: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沟通机制不</w:t>
            </w:r>
            <w:proofErr w:type="gramStart"/>
            <w:r>
              <w:rPr>
                <w:rFonts w:ascii="宋体" w:hAnsi="宋体" w:cs="宋体" w:hint="eastAsia"/>
                <w:kern w:val="0"/>
                <w:sz w:val="18"/>
                <w:szCs w:val="18"/>
              </w:rPr>
              <w:t>健全扣</w:t>
            </w:r>
            <w:proofErr w:type="gramEnd"/>
            <w:r>
              <w:rPr>
                <w:rFonts w:ascii="宋体" w:hAnsi="宋体" w:cs="宋体"/>
                <w:kern w:val="0"/>
                <w:sz w:val="18"/>
                <w:szCs w:val="18"/>
              </w:rPr>
              <w:t>1分，渠道不畅通扣3分。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737"/>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4.建立员工参与安全事务机制；鼓励员工参与安全事</w:t>
            </w:r>
            <w:r>
              <w:rPr>
                <w:rFonts w:ascii="宋体" w:hAnsi="宋体" w:cs="宋体" w:hint="eastAsia"/>
                <w:kern w:val="0"/>
                <w:sz w:val="18"/>
                <w:szCs w:val="18"/>
              </w:rPr>
              <w:t>故隐患自查、提交合理化建议。（</w:t>
            </w:r>
            <w:r>
              <w:rPr>
                <w:rFonts w:ascii="宋体" w:hAnsi="宋体" w:cs="宋体"/>
                <w:kern w:val="0"/>
                <w:sz w:val="18"/>
                <w:szCs w:val="18"/>
              </w:rPr>
              <w:t>3分）</w:t>
            </w: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没有机制扣</w:t>
            </w:r>
            <w:r>
              <w:rPr>
                <w:rFonts w:ascii="宋体" w:hAnsi="宋体" w:cs="宋体"/>
                <w:kern w:val="0"/>
                <w:sz w:val="18"/>
                <w:szCs w:val="18"/>
              </w:rPr>
              <w:t>1分，员工未参与安全事务扣3分。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737"/>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adjustRightInd w:val="0"/>
              <w:snapToGrid w:val="0"/>
              <w:rPr>
                <w:rFonts w:asciiTheme="minorEastAsia" w:eastAsiaTheme="minorEastAsia" w:hAnsiTheme="minorEastAsia" w:cs="宋体"/>
                <w:kern w:val="0"/>
                <w:sz w:val="18"/>
                <w:szCs w:val="18"/>
              </w:rPr>
            </w:pPr>
            <w:r>
              <w:rPr>
                <w:rFonts w:ascii="宋体" w:hAnsi="宋体" w:cs="宋体"/>
                <w:kern w:val="0"/>
                <w:sz w:val="18"/>
                <w:szCs w:val="18"/>
              </w:rPr>
              <w:t>5.积极配合应急及交管部门做好职工安全教育和</w:t>
            </w:r>
            <w:r>
              <w:rPr>
                <w:rFonts w:ascii="宋体" w:hAnsi="宋体" w:cs="宋体" w:hint="eastAsia"/>
                <w:kern w:val="0"/>
                <w:sz w:val="18"/>
                <w:szCs w:val="18"/>
              </w:rPr>
              <w:t>管理。企业职工未发生严重违章事故。（</w:t>
            </w:r>
            <w:r>
              <w:rPr>
                <w:rFonts w:ascii="宋体" w:hAnsi="宋体" w:cs="宋体"/>
                <w:kern w:val="0"/>
                <w:sz w:val="18"/>
                <w:szCs w:val="18"/>
              </w:rPr>
              <w:t>2分）</w:t>
            </w:r>
          </w:p>
        </w:tc>
        <w:tc>
          <w:tcPr>
            <w:tcW w:w="4546" w:type="dxa"/>
            <w:vAlign w:val="center"/>
          </w:tcPr>
          <w:p w:rsidR="009F3995" w:rsidRDefault="00A97DE9">
            <w:pPr>
              <w:widowControl/>
              <w:adjustRightInd w:val="0"/>
              <w:snapToGrid w:val="0"/>
              <w:jc w:val="left"/>
              <w:rPr>
                <w:rFonts w:asciiTheme="minorEastAsia" w:eastAsiaTheme="minorEastAsia" w:hAnsiTheme="minorEastAsia" w:cs="宋体"/>
                <w:kern w:val="0"/>
                <w:sz w:val="18"/>
                <w:szCs w:val="18"/>
              </w:rPr>
            </w:pPr>
            <w:r>
              <w:rPr>
                <w:rFonts w:ascii="宋体" w:hAnsi="宋体" w:cs="宋体" w:hint="eastAsia"/>
                <w:kern w:val="0"/>
                <w:sz w:val="18"/>
                <w:szCs w:val="18"/>
              </w:rPr>
              <w:t>发生一次违章扣</w:t>
            </w:r>
            <w:r>
              <w:rPr>
                <w:rFonts w:ascii="宋体" w:hAnsi="宋体" w:cs="宋体"/>
                <w:kern w:val="0"/>
                <w:sz w:val="18"/>
                <w:szCs w:val="18"/>
              </w:rPr>
              <w:t>1分。</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737"/>
          <w:jc w:val="center"/>
        </w:trPr>
        <w:tc>
          <w:tcPr>
            <w:tcW w:w="1135" w:type="dxa"/>
            <w:vMerge w:val="restart"/>
            <w:vAlign w:val="center"/>
          </w:tcPr>
          <w:p w:rsidR="009F3995" w:rsidRDefault="00A97DE9">
            <w:pPr>
              <w:rPr>
                <w:rFonts w:asciiTheme="minorEastAsia" w:eastAsiaTheme="minorEastAsia" w:hAnsiTheme="minorEastAsia"/>
              </w:rPr>
            </w:pPr>
            <w:r>
              <w:rPr>
                <w:rFonts w:asciiTheme="minorEastAsia" w:eastAsiaTheme="minorEastAsia" w:hAnsiTheme="minorEastAsia" w:hint="eastAsia"/>
                <w:b/>
                <w:kern w:val="0"/>
                <w:sz w:val="18"/>
                <w:szCs w:val="18"/>
              </w:rPr>
              <w:t>用电管理（20分）</w:t>
            </w:r>
          </w:p>
        </w:tc>
        <w:tc>
          <w:tcPr>
            <w:tcW w:w="5245" w:type="dxa"/>
            <w:vAlign w:val="center"/>
          </w:tcPr>
          <w:p w:rsidR="009F3995" w:rsidRDefault="00A97DE9">
            <w:pPr>
              <w:widowControl/>
              <w:adjustRightInd w:val="0"/>
              <w:snapToGrid w:val="0"/>
              <w:rPr>
                <w:rFonts w:ascii="宋体" w:hAnsi="宋体" w:cs="宋体"/>
                <w:kern w:val="0"/>
                <w:sz w:val="18"/>
                <w:szCs w:val="18"/>
              </w:rPr>
            </w:pPr>
            <w:r>
              <w:rPr>
                <w:rFonts w:ascii="宋体" w:hAnsi="宋体" w:cs="宋体" w:hint="eastAsia"/>
                <w:kern w:val="0"/>
                <w:sz w:val="18"/>
                <w:szCs w:val="18"/>
              </w:rPr>
              <w:t>1.用电安全（通用要求）：电线无私拉乱接，绝缘破损现象；严禁将导线直接插入插座内使用，不得在电线上晾晒衣物和悬挂物品；严禁使用破损的插头、插座及电线。（4分）</w:t>
            </w:r>
          </w:p>
        </w:tc>
        <w:tc>
          <w:tcPr>
            <w:tcW w:w="4546" w:type="dxa"/>
            <w:vAlign w:val="center"/>
          </w:tcPr>
          <w:p w:rsidR="009F3995" w:rsidRDefault="00A97DE9">
            <w:pPr>
              <w:widowControl/>
              <w:adjustRightInd w:val="0"/>
              <w:snapToGrid w:val="0"/>
              <w:rPr>
                <w:rFonts w:ascii="宋体" w:hAnsi="宋体" w:cs="宋体"/>
                <w:kern w:val="0"/>
                <w:sz w:val="18"/>
                <w:szCs w:val="18"/>
              </w:rPr>
            </w:pPr>
            <w:r>
              <w:rPr>
                <w:rFonts w:ascii="宋体" w:hAnsi="宋体" w:cs="宋体" w:hint="eastAsia"/>
                <w:kern w:val="0"/>
                <w:sz w:val="18"/>
                <w:szCs w:val="18"/>
              </w:rPr>
              <w:t>现场每发现</w:t>
            </w:r>
            <w:r>
              <w:rPr>
                <w:rFonts w:ascii="宋体" w:hAnsi="宋体" w:cs="宋体"/>
                <w:kern w:val="0"/>
                <w:sz w:val="18"/>
                <w:szCs w:val="18"/>
              </w:rPr>
              <w:t>1处隐患扣0.5分</w:t>
            </w:r>
            <w:r>
              <w:rPr>
                <w:rFonts w:ascii="宋体" w:hAnsi="宋体" w:cs="宋体" w:hint="eastAsia"/>
                <w:kern w:val="0"/>
                <w:sz w:val="18"/>
                <w:szCs w:val="18"/>
              </w:rPr>
              <w:t>。</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737"/>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宋体" w:hAnsi="宋体" w:cs="宋体"/>
                <w:kern w:val="0"/>
                <w:sz w:val="18"/>
                <w:szCs w:val="18"/>
              </w:rPr>
            </w:pPr>
            <w:r>
              <w:rPr>
                <w:rFonts w:ascii="宋体" w:hAnsi="宋体" w:cs="宋体" w:hint="eastAsia"/>
                <w:kern w:val="0"/>
                <w:sz w:val="18"/>
                <w:szCs w:val="18"/>
              </w:rPr>
              <w:t>2.用电安全（配电室）：（1）配电室的门应设置向外开启的防火门，严禁采用门闩；相邻配电室之间有门时，应能双向开启。（2）门、窗、电缆沟应当设置防水设施和挡鼠板；出入口应设置高度不低于400mm的挡板。（3）室内环境整洁，物品摆放整齐有序，无杂物及无关物品存放。（4）变压器、高压开关柜、低压开关柜操作面地面应铺设绝缘胶垫。（5）电工岗位人员应取得合格有效的电工作业操作资格，操作证原件由电工人员上岗时随身携带或由单位统一进行管理，值班人员在岗期间应穿全棉长袖工作服和绝缘鞋，值班人员的配置应符合相关标准要求。（6）</w:t>
            </w:r>
            <w:proofErr w:type="gramStart"/>
            <w:r>
              <w:rPr>
                <w:rFonts w:ascii="宋体" w:hAnsi="宋体" w:cs="宋体" w:hint="eastAsia"/>
                <w:kern w:val="0"/>
                <w:sz w:val="18"/>
                <w:szCs w:val="18"/>
              </w:rPr>
              <w:t>安全工</w:t>
            </w:r>
            <w:proofErr w:type="gramEnd"/>
            <w:r>
              <w:rPr>
                <w:rFonts w:ascii="宋体" w:hAnsi="宋体" w:cs="宋体" w:hint="eastAsia"/>
                <w:kern w:val="0"/>
                <w:sz w:val="18"/>
                <w:szCs w:val="18"/>
              </w:rPr>
              <w:t>器具应统一分类编号，定置存放并登</w:t>
            </w:r>
            <w:r>
              <w:rPr>
                <w:rFonts w:ascii="宋体" w:hAnsi="宋体" w:cs="宋体" w:hint="eastAsia"/>
                <w:kern w:val="0"/>
                <w:sz w:val="18"/>
                <w:szCs w:val="18"/>
              </w:rPr>
              <w:lastRenderedPageBreak/>
              <w:t>记在专用记录簿内，做到账物相符；</w:t>
            </w:r>
            <w:proofErr w:type="gramStart"/>
            <w:r>
              <w:rPr>
                <w:rFonts w:ascii="宋体" w:hAnsi="宋体" w:cs="宋体" w:hint="eastAsia"/>
                <w:kern w:val="0"/>
                <w:sz w:val="18"/>
                <w:szCs w:val="18"/>
              </w:rPr>
              <w:t>安全工</w:t>
            </w:r>
            <w:proofErr w:type="gramEnd"/>
            <w:r>
              <w:rPr>
                <w:rFonts w:ascii="宋体" w:hAnsi="宋体" w:cs="宋体" w:hint="eastAsia"/>
                <w:kern w:val="0"/>
                <w:sz w:val="18"/>
                <w:szCs w:val="18"/>
              </w:rPr>
              <w:t>器具应妥善保管，存放在干燥通风的场所，不允许当作其他工具使用，且不合格的</w:t>
            </w:r>
            <w:proofErr w:type="gramStart"/>
            <w:r>
              <w:rPr>
                <w:rFonts w:ascii="宋体" w:hAnsi="宋体" w:cs="宋体" w:hint="eastAsia"/>
                <w:kern w:val="0"/>
                <w:sz w:val="18"/>
                <w:szCs w:val="18"/>
              </w:rPr>
              <w:t>安全工</w:t>
            </w:r>
            <w:proofErr w:type="gramEnd"/>
            <w:r>
              <w:rPr>
                <w:rFonts w:ascii="宋体" w:hAnsi="宋体" w:cs="宋体" w:hint="eastAsia"/>
                <w:kern w:val="0"/>
                <w:sz w:val="18"/>
                <w:szCs w:val="18"/>
              </w:rPr>
              <w:t>器具不应存放在工作现场。（6分）</w:t>
            </w:r>
          </w:p>
        </w:tc>
        <w:tc>
          <w:tcPr>
            <w:tcW w:w="4546" w:type="dxa"/>
            <w:vAlign w:val="center"/>
          </w:tcPr>
          <w:p w:rsidR="009F3995" w:rsidRDefault="00A97DE9">
            <w:pPr>
              <w:widowControl/>
              <w:adjustRightInd w:val="0"/>
              <w:snapToGrid w:val="0"/>
              <w:rPr>
                <w:rFonts w:ascii="宋体" w:hAnsi="宋体" w:cs="宋体"/>
                <w:kern w:val="0"/>
                <w:sz w:val="18"/>
                <w:szCs w:val="18"/>
              </w:rPr>
            </w:pPr>
            <w:r>
              <w:rPr>
                <w:rFonts w:ascii="宋体" w:hAnsi="宋体" w:cs="宋体" w:hint="eastAsia"/>
                <w:kern w:val="0"/>
                <w:sz w:val="18"/>
                <w:szCs w:val="18"/>
              </w:rPr>
              <w:lastRenderedPageBreak/>
              <w:t>现场每发现</w:t>
            </w:r>
            <w:r>
              <w:rPr>
                <w:rFonts w:ascii="宋体" w:hAnsi="宋体" w:cs="宋体"/>
                <w:kern w:val="0"/>
                <w:sz w:val="18"/>
                <w:szCs w:val="18"/>
              </w:rPr>
              <w:t>1处隐患扣</w:t>
            </w:r>
            <w:r>
              <w:rPr>
                <w:rFonts w:ascii="宋体" w:hAnsi="宋体" w:cs="宋体" w:hint="eastAsia"/>
                <w:kern w:val="0"/>
                <w:sz w:val="18"/>
                <w:szCs w:val="18"/>
              </w:rPr>
              <w:t>1</w:t>
            </w:r>
            <w:r>
              <w:rPr>
                <w:rFonts w:ascii="宋体" w:hAnsi="宋体" w:cs="宋体"/>
                <w:kern w:val="0"/>
                <w:sz w:val="18"/>
                <w:szCs w:val="18"/>
              </w:rPr>
              <w:t>分；无相关佐证材料的酌情扣分</w:t>
            </w:r>
            <w:r>
              <w:rPr>
                <w:rFonts w:ascii="宋体" w:hAnsi="宋体" w:cs="宋体" w:hint="eastAsia"/>
                <w:kern w:val="0"/>
                <w:sz w:val="18"/>
                <w:szCs w:val="18"/>
              </w:rPr>
              <w:t>。</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737"/>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宋体" w:hAnsi="宋体" w:cs="宋体"/>
                <w:kern w:val="0"/>
                <w:sz w:val="18"/>
                <w:szCs w:val="18"/>
              </w:rPr>
            </w:pPr>
            <w:r>
              <w:rPr>
                <w:rFonts w:ascii="宋体" w:hAnsi="宋体" w:cs="宋体" w:hint="eastAsia"/>
                <w:kern w:val="0"/>
                <w:sz w:val="18"/>
                <w:szCs w:val="18"/>
              </w:rPr>
              <w:t>3.用电安全（电气箱柜）：（1）配电板（箱）应用不可燃材料制作。 （2）柜体内外整洁、完好、无积尘、积水和杂物。（3）板（箱）以外</w:t>
            </w:r>
            <w:proofErr w:type="gramStart"/>
            <w:r>
              <w:rPr>
                <w:rFonts w:ascii="宋体" w:hAnsi="宋体" w:cs="宋体" w:hint="eastAsia"/>
                <w:kern w:val="0"/>
                <w:sz w:val="18"/>
                <w:szCs w:val="18"/>
              </w:rPr>
              <w:t>不得有裸带电体</w:t>
            </w:r>
            <w:proofErr w:type="gramEnd"/>
            <w:r>
              <w:rPr>
                <w:rFonts w:ascii="宋体" w:hAnsi="宋体" w:cs="宋体" w:hint="eastAsia"/>
                <w:kern w:val="0"/>
                <w:sz w:val="18"/>
                <w:szCs w:val="18"/>
              </w:rPr>
              <w:t>外露。（4）箱柜体插座连接正确，并配有漏电保护器。（5）电气箱柜应留有足够的安全工作空间和通道。（6）落地安装的配电箱，室内应高出地面50mm以上，室外应高出地面200mm以上，底座周围应采取封闭措施，并应能防止鼠、蛇类等小动物进入箱内。（7）电气箱（柜）应张贴醒目的安全警告标志和编号、标识。（6分）</w:t>
            </w:r>
          </w:p>
        </w:tc>
        <w:tc>
          <w:tcPr>
            <w:tcW w:w="4546" w:type="dxa"/>
            <w:vAlign w:val="center"/>
          </w:tcPr>
          <w:p w:rsidR="009F3995" w:rsidRDefault="00A97DE9">
            <w:pPr>
              <w:widowControl/>
              <w:adjustRightInd w:val="0"/>
              <w:snapToGrid w:val="0"/>
              <w:rPr>
                <w:rFonts w:ascii="宋体" w:hAnsi="宋体" w:cs="宋体"/>
                <w:kern w:val="0"/>
                <w:sz w:val="18"/>
                <w:szCs w:val="18"/>
              </w:rPr>
            </w:pPr>
            <w:r>
              <w:rPr>
                <w:rFonts w:ascii="宋体" w:hAnsi="宋体" w:cs="宋体" w:hint="eastAsia"/>
                <w:kern w:val="0"/>
                <w:sz w:val="18"/>
                <w:szCs w:val="18"/>
              </w:rPr>
              <w:t>现场每发现</w:t>
            </w:r>
            <w:r>
              <w:rPr>
                <w:rFonts w:ascii="宋体" w:hAnsi="宋体" w:cs="宋体"/>
                <w:kern w:val="0"/>
                <w:sz w:val="18"/>
                <w:szCs w:val="18"/>
              </w:rPr>
              <w:t>1处隐患扣</w:t>
            </w:r>
            <w:r>
              <w:rPr>
                <w:rFonts w:ascii="宋体" w:hAnsi="宋体" w:cs="宋体" w:hint="eastAsia"/>
                <w:kern w:val="0"/>
                <w:sz w:val="18"/>
                <w:szCs w:val="18"/>
              </w:rPr>
              <w:t>1</w:t>
            </w:r>
            <w:r>
              <w:rPr>
                <w:rFonts w:ascii="宋体" w:hAnsi="宋体" w:cs="宋体"/>
                <w:kern w:val="0"/>
                <w:sz w:val="18"/>
                <w:szCs w:val="18"/>
              </w:rPr>
              <w:t>分</w:t>
            </w:r>
            <w:r>
              <w:rPr>
                <w:rFonts w:ascii="宋体" w:hAnsi="宋体" w:cs="宋体" w:hint="eastAsia"/>
                <w:kern w:val="0"/>
                <w:sz w:val="18"/>
                <w:szCs w:val="18"/>
              </w:rPr>
              <w:t>。</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737"/>
          <w:jc w:val="center"/>
        </w:trPr>
        <w:tc>
          <w:tcPr>
            <w:tcW w:w="1135" w:type="dxa"/>
            <w:vMerge/>
            <w:vAlign w:val="center"/>
          </w:tcPr>
          <w:p w:rsidR="009F3995" w:rsidRDefault="009F3995">
            <w:pPr>
              <w:rPr>
                <w:rFonts w:asciiTheme="minorEastAsia" w:eastAsiaTheme="minorEastAsia" w:hAnsiTheme="minorEastAsia"/>
              </w:rPr>
            </w:pPr>
          </w:p>
        </w:tc>
        <w:tc>
          <w:tcPr>
            <w:tcW w:w="5245" w:type="dxa"/>
            <w:vAlign w:val="center"/>
          </w:tcPr>
          <w:p w:rsidR="009F3995" w:rsidRDefault="00A97DE9">
            <w:pPr>
              <w:widowControl/>
              <w:adjustRightInd w:val="0"/>
              <w:snapToGrid w:val="0"/>
              <w:rPr>
                <w:rFonts w:ascii="宋体" w:hAnsi="宋体" w:cs="宋体"/>
                <w:kern w:val="0"/>
                <w:sz w:val="18"/>
                <w:szCs w:val="18"/>
              </w:rPr>
            </w:pPr>
            <w:r>
              <w:rPr>
                <w:rFonts w:ascii="宋体" w:hAnsi="宋体" w:cs="宋体" w:hint="eastAsia"/>
                <w:kern w:val="0"/>
                <w:sz w:val="18"/>
                <w:szCs w:val="18"/>
              </w:rPr>
              <w:t>4.用电安全（仓库用电）：不得使用碘钨灯和超过60瓦的白炽灯等高温照明灯具；库房内不准设置移动式照明灯具；照明灯具下方不准堆放物品，其垂直下方与储存物品水平间距离不得小于0.5m；库房内敷设的配电线路，需穿金属管或用非燃硬塑料管保护；仓库电器设备的周围和架空线路的下方严禁堆放物品。（4分）</w:t>
            </w:r>
          </w:p>
        </w:tc>
        <w:tc>
          <w:tcPr>
            <w:tcW w:w="4546" w:type="dxa"/>
            <w:vAlign w:val="center"/>
          </w:tcPr>
          <w:p w:rsidR="009F3995" w:rsidRDefault="00A97DE9">
            <w:pPr>
              <w:widowControl/>
              <w:adjustRightInd w:val="0"/>
              <w:snapToGrid w:val="0"/>
              <w:rPr>
                <w:rFonts w:ascii="宋体" w:hAnsi="宋体" w:cs="宋体"/>
                <w:kern w:val="0"/>
                <w:sz w:val="18"/>
                <w:szCs w:val="18"/>
              </w:rPr>
            </w:pPr>
            <w:r>
              <w:rPr>
                <w:rFonts w:ascii="宋体" w:hAnsi="宋体" w:cs="宋体" w:hint="eastAsia"/>
                <w:kern w:val="0"/>
                <w:sz w:val="18"/>
                <w:szCs w:val="18"/>
              </w:rPr>
              <w:t>现场每发现</w:t>
            </w:r>
            <w:r>
              <w:rPr>
                <w:rFonts w:ascii="宋体" w:hAnsi="宋体" w:cs="宋体"/>
                <w:kern w:val="0"/>
                <w:sz w:val="18"/>
                <w:szCs w:val="18"/>
              </w:rPr>
              <w:t>1处隐患扣</w:t>
            </w:r>
            <w:r>
              <w:rPr>
                <w:rFonts w:ascii="宋体" w:hAnsi="宋体" w:cs="宋体" w:hint="eastAsia"/>
                <w:kern w:val="0"/>
                <w:sz w:val="18"/>
                <w:szCs w:val="18"/>
              </w:rPr>
              <w:t>1</w:t>
            </w:r>
            <w:r>
              <w:rPr>
                <w:rFonts w:ascii="宋体" w:hAnsi="宋体" w:cs="宋体"/>
                <w:kern w:val="0"/>
                <w:sz w:val="18"/>
                <w:szCs w:val="18"/>
              </w:rPr>
              <w:t>分</w:t>
            </w:r>
            <w:r>
              <w:rPr>
                <w:rFonts w:ascii="宋体" w:hAnsi="宋体" w:cs="宋体" w:hint="eastAsia"/>
                <w:kern w:val="0"/>
                <w:sz w:val="18"/>
                <w:szCs w:val="18"/>
              </w:rPr>
              <w:t>。</w:t>
            </w: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0A4B5C" w:rsidTr="0063029A">
        <w:trPr>
          <w:trHeight w:val="349"/>
          <w:jc w:val="center"/>
        </w:trPr>
        <w:tc>
          <w:tcPr>
            <w:tcW w:w="1135" w:type="dxa"/>
            <w:vMerge w:val="restart"/>
            <w:vAlign w:val="center"/>
          </w:tcPr>
          <w:p w:rsidR="000A4B5C" w:rsidRDefault="000A4B5C" w:rsidP="000A4B5C">
            <w:pPr>
              <w:adjustRightInd w:val="0"/>
              <w:snapToGrid w:val="0"/>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鼓励项</w:t>
            </w:r>
          </w:p>
          <w:p w:rsidR="000A4B5C" w:rsidRDefault="000A4B5C" w:rsidP="000A4B5C">
            <w:pPr>
              <w:adjustRightInd w:val="0"/>
              <w:snapToGrid w:val="0"/>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（6</w:t>
            </w:r>
            <w:r>
              <w:rPr>
                <w:rFonts w:asciiTheme="minorEastAsia" w:eastAsiaTheme="minorEastAsia" w:hAnsiTheme="minorEastAsia"/>
                <w:b/>
                <w:kern w:val="0"/>
                <w:sz w:val="18"/>
                <w:szCs w:val="18"/>
              </w:rPr>
              <w:t>分）</w:t>
            </w:r>
          </w:p>
        </w:tc>
        <w:tc>
          <w:tcPr>
            <w:tcW w:w="5245" w:type="dxa"/>
            <w:vAlign w:val="center"/>
          </w:tcPr>
          <w:p w:rsidR="000A4B5C" w:rsidRDefault="000A4B5C" w:rsidP="000A4B5C">
            <w:pPr>
              <w:widowControl/>
              <w:adjustRightInd w:val="0"/>
              <w:snapToGrid w:val="0"/>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投保</w:t>
            </w:r>
            <w:r>
              <w:rPr>
                <w:rFonts w:ascii="宋体" w:hAnsi="宋体" w:cs="宋体"/>
                <w:kern w:val="0"/>
                <w:sz w:val="18"/>
                <w:szCs w:val="18"/>
              </w:rPr>
              <w:t>安全生产责任险</w:t>
            </w:r>
            <w:r>
              <w:rPr>
                <w:rFonts w:ascii="宋体" w:hAnsi="宋体" w:cs="宋体" w:hint="eastAsia"/>
                <w:kern w:val="0"/>
                <w:sz w:val="18"/>
                <w:szCs w:val="18"/>
              </w:rPr>
              <w:t>、或</w:t>
            </w:r>
            <w:r>
              <w:rPr>
                <w:rFonts w:ascii="宋体" w:hAnsi="宋体" w:cs="宋体"/>
                <w:kern w:val="0"/>
                <w:sz w:val="18"/>
                <w:szCs w:val="18"/>
              </w:rPr>
              <w:t>安全生产标准化</w:t>
            </w:r>
            <w:r>
              <w:rPr>
                <w:rFonts w:ascii="宋体" w:hAnsi="宋体" w:cs="宋体" w:hint="eastAsia"/>
                <w:kern w:val="0"/>
                <w:sz w:val="18"/>
                <w:szCs w:val="18"/>
              </w:rPr>
              <w:t>获</w:t>
            </w:r>
            <w:r>
              <w:rPr>
                <w:rFonts w:ascii="宋体" w:hAnsi="宋体" w:cs="宋体"/>
                <w:kern w:val="0"/>
                <w:sz w:val="18"/>
                <w:szCs w:val="18"/>
              </w:rPr>
              <w:t>得二级以上达标</w:t>
            </w:r>
            <w:r>
              <w:rPr>
                <w:rFonts w:ascii="宋体" w:hAnsi="宋体" w:cs="宋体" w:hint="eastAsia"/>
                <w:kern w:val="0"/>
                <w:sz w:val="18"/>
                <w:szCs w:val="18"/>
              </w:rPr>
              <w:t>、或参加市级应急演练竞赛评比并获得奖励</w:t>
            </w:r>
            <w:r>
              <w:rPr>
                <w:rFonts w:ascii="宋体" w:hAnsi="宋体" w:cs="宋体"/>
                <w:kern w:val="0"/>
                <w:sz w:val="18"/>
                <w:szCs w:val="18"/>
              </w:rPr>
              <w:t>。</w:t>
            </w:r>
            <w:r>
              <w:rPr>
                <w:rFonts w:ascii="宋体" w:hAnsi="宋体" w:cs="宋体" w:hint="eastAsia"/>
                <w:kern w:val="0"/>
                <w:sz w:val="18"/>
                <w:szCs w:val="18"/>
              </w:rPr>
              <w:t>（3</w:t>
            </w:r>
            <w:r>
              <w:rPr>
                <w:rFonts w:ascii="宋体" w:hAnsi="宋体" w:cs="宋体"/>
                <w:kern w:val="0"/>
                <w:sz w:val="18"/>
                <w:szCs w:val="18"/>
              </w:rPr>
              <w:t>分）</w:t>
            </w:r>
          </w:p>
        </w:tc>
        <w:tc>
          <w:tcPr>
            <w:tcW w:w="4546" w:type="dxa"/>
            <w:vAlign w:val="center"/>
          </w:tcPr>
          <w:p w:rsidR="000A4B5C" w:rsidRDefault="000A4B5C" w:rsidP="000A4B5C">
            <w:pPr>
              <w:widowControl/>
              <w:adjustRightInd w:val="0"/>
              <w:snapToGrid w:val="0"/>
              <w:spacing w:line="360" w:lineRule="exact"/>
              <w:jc w:val="left"/>
              <w:rPr>
                <w:rFonts w:ascii="宋体" w:hAnsi="宋体" w:cs="宋体"/>
                <w:kern w:val="0"/>
                <w:sz w:val="18"/>
                <w:szCs w:val="18"/>
              </w:rPr>
            </w:pPr>
            <w:r>
              <w:rPr>
                <w:rFonts w:ascii="宋体" w:hAnsi="宋体" w:cs="宋体" w:hint="eastAsia"/>
                <w:kern w:val="0"/>
                <w:sz w:val="18"/>
                <w:szCs w:val="18"/>
              </w:rPr>
              <w:t>达到任意一项加1分，最高加3分。</w:t>
            </w:r>
          </w:p>
        </w:tc>
        <w:tc>
          <w:tcPr>
            <w:tcW w:w="783" w:type="dxa"/>
            <w:vAlign w:val="center"/>
          </w:tcPr>
          <w:p w:rsidR="000A4B5C" w:rsidRDefault="000A4B5C" w:rsidP="000A4B5C">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0A4B5C" w:rsidRDefault="000A4B5C" w:rsidP="000A4B5C">
            <w:pPr>
              <w:widowControl/>
              <w:adjustRightInd w:val="0"/>
              <w:snapToGrid w:val="0"/>
              <w:jc w:val="left"/>
              <w:rPr>
                <w:rFonts w:asciiTheme="minorEastAsia" w:eastAsiaTheme="minorEastAsia" w:hAnsiTheme="minorEastAsia"/>
                <w:kern w:val="0"/>
                <w:sz w:val="18"/>
                <w:szCs w:val="18"/>
              </w:rPr>
            </w:pPr>
          </w:p>
        </w:tc>
      </w:tr>
      <w:tr w:rsidR="000A4B5C" w:rsidTr="0063029A">
        <w:trPr>
          <w:trHeight w:val="412"/>
          <w:jc w:val="center"/>
        </w:trPr>
        <w:tc>
          <w:tcPr>
            <w:tcW w:w="1135" w:type="dxa"/>
            <w:vMerge/>
            <w:vAlign w:val="center"/>
          </w:tcPr>
          <w:p w:rsidR="000A4B5C" w:rsidRPr="000A4B5C" w:rsidRDefault="000A4B5C" w:rsidP="000A4B5C">
            <w:pPr>
              <w:widowControl/>
              <w:adjustRightInd w:val="0"/>
              <w:snapToGrid w:val="0"/>
              <w:rPr>
                <w:rFonts w:ascii="宋体" w:hAnsi="宋体" w:cs="宋体"/>
                <w:kern w:val="0"/>
                <w:sz w:val="18"/>
                <w:szCs w:val="18"/>
              </w:rPr>
            </w:pPr>
          </w:p>
        </w:tc>
        <w:tc>
          <w:tcPr>
            <w:tcW w:w="5245" w:type="dxa"/>
            <w:vAlign w:val="center"/>
          </w:tcPr>
          <w:p w:rsidR="000A4B5C" w:rsidRDefault="000A4B5C" w:rsidP="000A4B5C">
            <w:pPr>
              <w:widowControl/>
              <w:adjustRightInd w:val="0"/>
              <w:snapToGrid w:val="0"/>
              <w:rPr>
                <w:rFonts w:ascii="宋体" w:hAnsi="宋体" w:cs="宋体"/>
                <w:kern w:val="0"/>
                <w:sz w:val="18"/>
                <w:szCs w:val="18"/>
              </w:rPr>
            </w:pPr>
            <w:r>
              <w:rPr>
                <w:rFonts w:ascii="宋体" w:hAnsi="宋体" w:cs="宋体" w:hint="eastAsia"/>
                <w:kern w:val="0"/>
                <w:sz w:val="18"/>
                <w:szCs w:val="18"/>
              </w:rPr>
              <w:t>2.被评为北京市“健康企业”，或有职业健康微</w:t>
            </w:r>
            <w:proofErr w:type="gramStart"/>
            <w:r>
              <w:rPr>
                <w:rFonts w:ascii="宋体" w:hAnsi="宋体" w:cs="宋体" w:hint="eastAsia"/>
                <w:kern w:val="0"/>
                <w:sz w:val="18"/>
                <w:szCs w:val="18"/>
              </w:rPr>
              <w:t>视频获</w:t>
            </w:r>
            <w:proofErr w:type="gramEnd"/>
            <w:r>
              <w:rPr>
                <w:rFonts w:ascii="宋体" w:hAnsi="宋体" w:cs="宋体" w:hint="eastAsia"/>
                <w:kern w:val="0"/>
                <w:sz w:val="18"/>
                <w:szCs w:val="18"/>
              </w:rPr>
              <w:t>市级奖项，或有职工获评市级“健康达人”（3</w:t>
            </w:r>
            <w:r>
              <w:rPr>
                <w:rFonts w:ascii="宋体" w:hAnsi="宋体" w:cs="宋体"/>
                <w:kern w:val="0"/>
                <w:sz w:val="18"/>
                <w:szCs w:val="18"/>
              </w:rPr>
              <w:t>分）</w:t>
            </w:r>
          </w:p>
        </w:tc>
        <w:tc>
          <w:tcPr>
            <w:tcW w:w="4546" w:type="dxa"/>
            <w:vAlign w:val="center"/>
          </w:tcPr>
          <w:p w:rsidR="000A4B5C" w:rsidRDefault="000A4B5C" w:rsidP="000A4B5C">
            <w:pPr>
              <w:widowControl/>
              <w:adjustRightInd w:val="0"/>
              <w:snapToGrid w:val="0"/>
              <w:spacing w:line="360" w:lineRule="exact"/>
              <w:jc w:val="left"/>
              <w:rPr>
                <w:rFonts w:ascii="宋体" w:hAnsi="宋体" w:cs="宋体"/>
                <w:kern w:val="0"/>
                <w:sz w:val="18"/>
                <w:szCs w:val="18"/>
              </w:rPr>
            </w:pPr>
            <w:r>
              <w:rPr>
                <w:rFonts w:ascii="宋体" w:hAnsi="宋体" w:cs="宋体" w:hint="eastAsia"/>
                <w:kern w:val="0"/>
                <w:sz w:val="18"/>
                <w:szCs w:val="18"/>
              </w:rPr>
              <w:t>达到任意一项加1分，最高加3分。</w:t>
            </w:r>
          </w:p>
        </w:tc>
        <w:tc>
          <w:tcPr>
            <w:tcW w:w="783" w:type="dxa"/>
            <w:vAlign w:val="center"/>
          </w:tcPr>
          <w:p w:rsidR="000A4B5C" w:rsidRDefault="000A4B5C" w:rsidP="000A4B5C">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0A4B5C" w:rsidRDefault="000A4B5C" w:rsidP="000A4B5C">
            <w:pPr>
              <w:widowControl/>
              <w:adjustRightInd w:val="0"/>
              <w:snapToGrid w:val="0"/>
              <w:jc w:val="left"/>
              <w:rPr>
                <w:rFonts w:asciiTheme="minorEastAsia" w:eastAsiaTheme="minorEastAsia" w:hAnsiTheme="minorEastAsia"/>
                <w:kern w:val="0"/>
                <w:sz w:val="18"/>
                <w:szCs w:val="18"/>
              </w:rPr>
            </w:pPr>
          </w:p>
        </w:tc>
      </w:tr>
      <w:tr w:rsidR="009F3995">
        <w:trPr>
          <w:trHeight w:val="1073"/>
          <w:jc w:val="center"/>
        </w:trPr>
        <w:tc>
          <w:tcPr>
            <w:tcW w:w="1135" w:type="dxa"/>
            <w:vAlign w:val="center"/>
          </w:tcPr>
          <w:p w:rsidR="009F3995" w:rsidRDefault="00A97DE9">
            <w:pPr>
              <w:widowControl/>
              <w:adjustRightInd w:val="0"/>
              <w:snapToGrid w:val="0"/>
              <w:jc w:val="center"/>
              <w:rPr>
                <w:rFonts w:asciiTheme="minorEastAsia" w:eastAsiaTheme="minorEastAsia" w:hAnsiTheme="minorEastAsia"/>
                <w:b/>
                <w:kern w:val="0"/>
                <w:sz w:val="18"/>
                <w:szCs w:val="18"/>
              </w:rPr>
            </w:pPr>
            <w:r>
              <w:rPr>
                <w:rFonts w:asciiTheme="minorEastAsia" w:eastAsiaTheme="minorEastAsia" w:hAnsiTheme="minorEastAsia"/>
                <w:b/>
                <w:kern w:val="0"/>
                <w:sz w:val="18"/>
                <w:szCs w:val="18"/>
              </w:rPr>
              <w:t>合计</w:t>
            </w:r>
          </w:p>
        </w:tc>
        <w:tc>
          <w:tcPr>
            <w:tcW w:w="5245" w:type="dxa"/>
            <w:vAlign w:val="center"/>
          </w:tcPr>
          <w:p w:rsidR="009F3995" w:rsidRDefault="009F3995">
            <w:pPr>
              <w:adjustRightInd w:val="0"/>
              <w:snapToGrid w:val="0"/>
              <w:rPr>
                <w:rFonts w:asciiTheme="minorEastAsia" w:eastAsiaTheme="minorEastAsia" w:hAnsiTheme="minorEastAsia" w:cs="宋体"/>
                <w:kern w:val="0"/>
                <w:sz w:val="18"/>
                <w:szCs w:val="18"/>
              </w:rPr>
            </w:pPr>
          </w:p>
          <w:p w:rsidR="009F3995" w:rsidRDefault="009F3995">
            <w:pPr>
              <w:adjustRightInd w:val="0"/>
              <w:snapToGrid w:val="0"/>
              <w:rPr>
                <w:rFonts w:asciiTheme="minorEastAsia" w:eastAsiaTheme="minorEastAsia" w:hAnsiTheme="minorEastAsia" w:cs="宋体"/>
                <w:kern w:val="0"/>
                <w:sz w:val="18"/>
                <w:szCs w:val="18"/>
              </w:rPr>
            </w:pPr>
          </w:p>
          <w:p w:rsidR="009F3995" w:rsidRDefault="009F3995">
            <w:pPr>
              <w:adjustRightInd w:val="0"/>
              <w:snapToGrid w:val="0"/>
              <w:rPr>
                <w:rFonts w:asciiTheme="minorEastAsia" w:eastAsiaTheme="minorEastAsia" w:hAnsiTheme="minorEastAsia" w:cs="宋体"/>
                <w:kern w:val="0"/>
                <w:sz w:val="18"/>
                <w:szCs w:val="18"/>
              </w:rPr>
            </w:pPr>
          </w:p>
          <w:p w:rsidR="009F3995" w:rsidRDefault="009F3995">
            <w:pPr>
              <w:adjustRightInd w:val="0"/>
              <w:snapToGrid w:val="0"/>
              <w:rPr>
                <w:rFonts w:asciiTheme="minorEastAsia" w:eastAsiaTheme="minorEastAsia" w:hAnsiTheme="minorEastAsia" w:cs="宋体"/>
                <w:kern w:val="0"/>
                <w:sz w:val="18"/>
                <w:szCs w:val="18"/>
              </w:rPr>
            </w:pPr>
          </w:p>
          <w:p w:rsidR="009F3995" w:rsidRDefault="009F3995">
            <w:pPr>
              <w:adjustRightInd w:val="0"/>
              <w:snapToGrid w:val="0"/>
              <w:rPr>
                <w:rFonts w:asciiTheme="minorEastAsia" w:eastAsiaTheme="minorEastAsia" w:hAnsiTheme="minorEastAsia" w:cs="宋体"/>
                <w:kern w:val="0"/>
                <w:sz w:val="18"/>
                <w:szCs w:val="18"/>
              </w:rPr>
            </w:pPr>
          </w:p>
          <w:p w:rsidR="009F3995" w:rsidRDefault="009F3995">
            <w:pPr>
              <w:adjustRightInd w:val="0"/>
              <w:snapToGrid w:val="0"/>
              <w:rPr>
                <w:rFonts w:asciiTheme="minorEastAsia" w:eastAsiaTheme="minorEastAsia" w:hAnsiTheme="minorEastAsia" w:cs="宋体"/>
                <w:kern w:val="0"/>
                <w:sz w:val="18"/>
                <w:szCs w:val="18"/>
              </w:rPr>
            </w:pPr>
          </w:p>
        </w:tc>
        <w:tc>
          <w:tcPr>
            <w:tcW w:w="4546" w:type="dxa"/>
            <w:vAlign w:val="center"/>
          </w:tcPr>
          <w:p w:rsidR="009F3995" w:rsidRDefault="009F3995">
            <w:pPr>
              <w:widowControl/>
              <w:adjustRightInd w:val="0"/>
              <w:snapToGrid w:val="0"/>
              <w:jc w:val="left"/>
              <w:rPr>
                <w:rFonts w:asciiTheme="minorEastAsia" w:eastAsiaTheme="minorEastAsia" w:hAnsiTheme="minorEastAsia" w:cs="宋体"/>
                <w:kern w:val="0"/>
                <w:sz w:val="18"/>
                <w:szCs w:val="18"/>
              </w:rPr>
            </w:pPr>
          </w:p>
        </w:tc>
        <w:tc>
          <w:tcPr>
            <w:tcW w:w="78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c>
          <w:tcPr>
            <w:tcW w:w="1003" w:type="dxa"/>
            <w:vAlign w:val="center"/>
          </w:tcPr>
          <w:p w:rsidR="009F3995" w:rsidRDefault="009F3995">
            <w:pPr>
              <w:widowControl/>
              <w:adjustRightInd w:val="0"/>
              <w:snapToGrid w:val="0"/>
              <w:jc w:val="left"/>
              <w:rPr>
                <w:rFonts w:asciiTheme="minorEastAsia" w:eastAsiaTheme="minorEastAsia" w:hAnsiTheme="minorEastAsia"/>
                <w:kern w:val="0"/>
                <w:sz w:val="18"/>
                <w:szCs w:val="18"/>
              </w:rPr>
            </w:pPr>
          </w:p>
        </w:tc>
      </w:tr>
      <w:tr w:rsidR="009F3995">
        <w:trPr>
          <w:trHeight w:val="1476"/>
          <w:jc w:val="center"/>
        </w:trPr>
        <w:tc>
          <w:tcPr>
            <w:tcW w:w="12712" w:type="dxa"/>
            <w:gridSpan w:val="5"/>
            <w:vAlign w:val="center"/>
          </w:tcPr>
          <w:p w:rsidR="009F3995" w:rsidRDefault="00A97DE9">
            <w:pPr>
              <w:adjustRightInd w:val="0"/>
              <w:snapToGrid w:val="0"/>
              <w:rPr>
                <w:rFonts w:ascii="宋体" w:hAnsi="宋体" w:cs="宋体"/>
                <w:kern w:val="0"/>
                <w:sz w:val="18"/>
                <w:szCs w:val="18"/>
              </w:rPr>
            </w:pPr>
            <w:r>
              <w:rPr>
                <w:rFonts w:ascii="宋体" w:hAnsi="宋体" w:cs="宋体" w:hint="eastAsia"/>
                <w:kern w:val="0"/>
                <w:sz w:val="18"/>
                <w:szCs w:val="18"/>
              </w:rPr>
              <w:t>注：1</w:t>
            </w:r>
            <w:r>
              <w:rPr>
                <w:rFonts w:ascii="宋体" w:hAnsi="宋体" w:cs="宋体"/>
                <w:kern w:val="0"/>
                <w:sz w:val="18"/>
                <w:szCs w:val="18"/>
              </w:rPr>
              <w:t>.</w:t>
            </w:r>
            <w:r>
              <w:rPr>
                <w:rFonts w:ascii="宋体" w:hAnsi="宋体" w:cs="宋体" w:hint="eastAsia"/>
                <w:kern w:val="0"/>
                <w:sz w:val="18"/>
                <w:szCs w:val="18"/>
              </w:rPr>
              <w:t xml:space="preserve">表中提及的“基层组织”是指各企业的班组、机关事业单位及团体单位的科室及部门等。      </w:t>
            </w:r>
          </w:p>
          <w:p w:rsidR="009F3995" w:rsidRDefault="00A97DE9">
            <w:pPr>
              <w:adjustRightInd w:val="0"/>
              <w:snapToGrid w:val="0"/>
              <w:rPr>
                <w:rFonts w:ascii="宋体" w:hAnsi="宋体" w:cs="宋体"/>
                <w:kern w:val="0"/>
                <w:sz w:val="18"/>
                <w:szCs w:val="18"/>
              </w:rPr>
            </w:pPr>
            <w:r>
              <w:rPr>
                <w:rFonts w:ascii="宋体" w:hAnsi="宋体" w:cs="宋体" w:hint="eastAsia"/>
                <w:kern w:val="0"/>
                <w:sz w:val="18"/>
                <w:szCs w:val="18"/>
              </w:rPr>
              <w:t xml:space="preserve">    2.鼓励项分值在120分以外，减完扣分项之后按照鼓励项内容进行额外加分。</w:t>
            </w:r>
          </w:p>
          <w:p w:rsidR="009F3995" w:rsidRDefault="00A97DE9">
            <w:pPr>
              <w:adjustRightInd w:val="0"/>
              <w:snapToGrid w:val="0"/>
              <w:ind w:firstLine="360"/>
              <w:rPr>
                <w:rFonts w:ascii="宋体" w:hAnsi="宋体" w:cs="宋体"/>
                <w:kern w:val="0"/>
                <w:sz w:val="18"/>
                <w:szCs w:val="18"/>
              </w:rPr>
            </w:pPr>
            <w:r>
              <w:rPr>
                <w:rFonts w:ascii="宋体" w:hAnsi="宋体" w:cs="宋体" w:hint="eastAsia"/>
                <w:kern w:val="0"/>
                <w:sz w:val="18"/>
                <w:szCs w:val="18"/>
              </w:rPr>
              <w:t>3.单项考核项目扣完本项分数为止，</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倒扣分</w:t>
            </w:r>
            <w:r>
              <w:rPr>
                <w:rFonts w:ascii="宋体" w:hAnsi="宋体" w:cs="宋体"/>
                <w:kern w:val="0"/>
                <w:sz w:val="18"/>
                <w:szCs w:val="18"/>
              </w:rPr>
              <w:t>。</w:t>
            </w:r>
          </w:p>
          <w:p w:rsidR="009F3995" w:rsidRDefault="00A97DE9">
            <w:pPr>
              <w:adjustRightInd w:val="0"/>
              <w:snapToGrid w:val="0"/>
              <w:ind w:firstLine="360"/>
              <w:rPr>
                <w:rFonts w:asciiTheme="minorEastAsia" w:eastAsiaTheme="minorEastAsia" w:hAnsiTheme="minorEastAsia" w:cs="宋体"/>
                <w:kern w:val="0"/>
                <w:sz w:val="18"/>
                <w:szCs w:val="18"/>
              </w:rPr>
            </w:pPr>
            <w:r>
              <w:rPr>
                <w:rFonts w:ascii="宋体" w:hAnsi="宋体" w:cs="宋体" w:hint="eastAsia"/>
                <w:kern w:val="0"/>
                <w:sz w:val="18"/>
                <w:szCs w:val="18"/>
              </w:rPr>
              <w:t>4.根据防控级别要求及时调整本单位防控措施。</w:t>
            </w:r>
          </w:p>
        </w:tc>
      </w:tr>
    </w:tbl>
    <w:p w:rsidR="009F3995" w:rsidRDefault="009F3995" w:rsidP="00316F20">
      <w:pPr>
        <w:widowControl/>
        <w:jc w:val="left"/>
        <w:rPr>
          <w:rFonts w:ascii="仿宋_GB2312" w:eastAsia="仿宋_GB2312" w:hAnsi="仿宋_GB2312" w:cs="仿宋_GB2312"/>
          <w:sz w:val="32"/>
          <w:szCs w:val="32"/>
        </w:rPr>
      </w:pPr>
    </w:p>
    <w:sectPr w:rsidR="009F3995" w:rsidSect="00316F20">
      <w:footerReference w:type="even" r:id="rId9"/>
      <w:footerReference w:type="default" r:id="rId10"/>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BBA" w:rsidRDefault="00835BBA">
      <w:r>
        <w:separator/>
      </w:r>
    </w:p>
  </w:endnote>
  <w:endnote w:type="continuationSeparator" w:id="0">
    <w:p w:rsidR="00835BBA" w:rsidRDefault="0083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995" w:rsidRDefault="009F3995">
    <w:pPr>
      <w:pStyle w:val="a7"/>
      <w:ind w:firstLineChars="100" w:firstLine="28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995" w:rsidRDefault="009F3995">
    <w:pPr>
      <w:pStyle w:val="a7"/>
      <w:ind w:right="180"/>
      <w:jc w:val="right"/>
      <w:rPr>
        <w:rFonts w:asciiTheme="minorEastAsia" w:eastAsiaTheme="minorEastAsia" w:hAnsiTheme="minorEastAsia"/>
        <w:sz w:val="28"/>
        <w:szCs w:val="28"/>
      </w:rPr>
    </w:pPr>
  </w:p>
  <w:p w:rsidR="009F3995" w:rsidRDefault="009F3995">
    <w:pPr>
      <w:pStyle w:val="a7"/>
      <w:ind w:right="180"/>
      <w:rPr>
        <w:rFonts w:asciiTheme="minorEastAsia" w:eastAsiaTheme="minorEastAsia" w:hAnsiTheme="minorEastAsia"/>
        <w:sz w:val="28"/>
        <w:szCs w:val="28"/>
        <w:lang w:val="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BBA" w:rsidRDefault="00835BBA">
      <w:r>
        <w:separator/>
      </w:r>
    </w:p>
  </w:footnote>
  <w:footnote w:type="continuationSeparator" w:id="0">
    <w:p w:rsidR="00835BBA" w:rsidRDefault="00835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1AB70"/>
    <w:multiLevelType w:val="singleLevel"/>
    <w:tmpl w:val="3391AB7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NDM2ZjY4MmVlZmE3NDZmMWVjNTUwODQ0ODlmMTQifQ=="/>
  </w:docVars>
  <w:rsids>
    <w:rsidRoot w:val="00D56A17"/>
    <w:rsid w:val="00001CFA"/>
    <w:rsid w:val="00013091"/>
    <w:rsid w:val="000146EA"/>
    <w:rsid w:val="0002345B"/>
    <w:rsid w:val="00065EA4"/>
    <w:rsid w:val="00084FFF"/>
    <w:rsid w:val="00090A04"/>
    <w:rsid w:val="0009520C"/>
    <w:rsid w:val="000A2513"/>
    <w:rsid w:val="000A34CF"/>
    <w:rsid w:val="000A4B5C"/>
    <w:rsid w:val="000B39A8"/>
    <w:rsid w:val="000C5288"/>
    <w:rsid w:val="000C5451"/>
    <w:rsid w:val="000D7F46"/>
    <w:rsid w:val="000E7DB3"/>
    <w:rsid w:val="000E7F60"/>
    <w:rsid w:val="0011345F"/>
    <w:rsid w:val="00115FD0"/>
    <w:rsid w:val="00123130"/>
    <w:rsid w:val="0013582E"/>
    <w:rsid w:val="00147547"/>
    <w:rsid w:val="00152AFA"/>
    <w:rsid w:val="00155E57"/>
    <w:rsid w:val="00161AA7"/>
    <w:rsid w:val="00175CC7"/>
    <w:rsid w:val="0018360E"/>
    <w:rsid w:val="001A0327"/>
    <w:rsid w:val="001B1A56"/>
    <w:rsid w:val="001B777F"/>
    <w:rsid w:val="001C7992"/>
    <w:rsid w:val="001D7F16"/>
    <w:rsid w:val="001F1B3A"/>
    <w:rsid w:val="002010AD"/>
    <w:rsid w:val="00224833"/>
    <w:rsid w:val="00250232"/>
    <w:rsid w:val="00251EC2"/>
    <w:rsid w:val="002525D3"/>
    <w:rsid w:val="0026426B"/>
    <w:rsid w:val="002666A0"/>
    <w:rsid w:val="00277FC6"/>
    <w:rsid w:val="0028102C"/>
    <w:rsid w:val="002A5A5E"/>
    <w:rsid w:val="002B2C69"/>
    <w:rsid w:val="002B763E"/>
    <w:rsid w:val="002F24A1"/>
    <w:rsid w:val="0031177A"/>
    <w:rsid w:val="00313D64"/>
    <w:rsid w:val="0031546E"/>
    <w:rsid w:val="003157CF"/>
    <w:rsid w:val="0031684F"/>
    <w:rsid w:val="003168F0"/>
    <w:rsid w:val="00316F20"/>
    <w:rsid w:val="00320C17"/>
    <w:rsid w:val="0037016E"/>
    <w:rsid w:val="00385CC9"/>
    <w:rsid w:val="003A7FF1"/>
    <w:rsid w:val="003C0A92"/>
    <w:rsid w:val="003D1B4C"/>
    <w:rsid w:val="003D2532"/>
    <w:rsid w:val="003E0801"/>
    <w:rsid w:val="003E1FA5"/>
    <w:rsid w:val="003E66BB"/>
    <w:rsid w:val="003F4CD5"/>
    <w:rsid w:val="0040426F"/>
    <w:rsid w:val="004107C9"/>
    <w:rsid w:val="00422B33"/>
    <w:rsid w:val="00430023"/>
    <w:rsid w:val="00430975"/>
    <w:rsid w:val="00432993"/>
    <w:rsid w:val="00433373"/>
    <w:rsid w:val="00440321"/>
    <w:rsid w:val="004531CA"/>
    <w:rsid w:val="00470ED6"/>
    <w:rsid w:val="004917C0"/>
    <w:rsid w:val="004929AA"/>
    <w:rsid w:val="004A340A"/>
    <w:rsid w:val="004C32B1"/>
    <w:rsid w:val="004E3FCB"/>
    <w:rsid w:val="00512AC2"/>
    <w:rsid w:val="00526D8B"/>
    <w:rsid w:val="005533FA"/>
    <w:rsid w:val="00567D28"/>
    <w:rsid w:val="0057796A"/>
    <w:rsid w:val="0058064C"/>
    <w:rsid w:val="0058134F"/>
    <w:rsid w:val="00594B83"/>
    <w:rsid w:val="00594E82"/>
    <w:rsid w:val="005B7841"/>
    <w:rsid w:val="005B7DB6"/>
    <w:rsid w:val="005F63A2"/>
    <w:rsid w:val="00603C0E"/>
    <w:rsid w:val="0060513A"/>
    <w:rsid w:val="00612B8A"/>
    <w:rsid w:val="00617695"/>
    <w:rsid w:val="006270D0"/>
    <w:rsid w:val="0063029A"/>
    <w:rsid w:val="00643EDE"/>
    <w:rsid w:val="00661C49"/>
    <w:rsid w:val="0067575F"/>
    <w:rsid w:val="00676B96"/>
    <w:rsid w:val="006770EB"/>
    <w:rsid w:val="00681C62"/>
    <w:rsid w:val="00684F89"/>
    <w:rsid w:val="0068694E"/>
    <w:rsid w:val="006971BC"/>
    <w:rsid w:val="006A5CFF"/>
    <w:rsid w:val="006C4B1F"/>
    <w:rsid w:val="006C5330"/>
    <w:rsid w:val="006C5720"/>
    <w:rsid w:val="006C5A7D"/>
    <w:rsid w:val="006C75C4"/>
    <w:rsid w:val="006F2D00"/>
    <w:rsid w:val="006F5811"/>
    <w:rsid w:val="00705BC2"/>
    <w:rsid w:val="007135F7"/>
    <w:rsid w:val="00713E15"/>
    <w:rsid w:val="007208EB"/>
    <w:rsid w:val="00723623"/>
    <w:rsid w:val="00744BAB"/>
    <w:rsid w:val="00752B1A"/>
    <w:rsid w:val="00754B3E"/>
    <w:rsid w:val="007607D9"/>
    <w:rsid w:val="00761C8E"/>
    <w:rsid w:val="00767BDC"/>
    <w:rsid w:val="007731BE"/>
    <w:rsid w:val="00786E7F"/>
    <w:rsid w:val="00790594"/>
    <w:rsid w:val="007932A1"/>
    <w:rsid w:val="00794D00"/>
    <w:rsid w:val="007967E5"/>
    <w:rsid w:val="007A37FC"/>
    <w:rsid w:val="007C0DA7"/>
    <w:rsid w:val="007C776D"/>
    <w:rsid w:val="007E435F"/>
    <w:rsid w:val="007F51A2"/>
    <w:rsid w:val="007F6FB2"/>
    <w:rsid w:val="008019A9"/>
    <w:rsid w:val="00807C57"/>
    <w:rsid w:val="0083293F"/>
    <w:rsid w:val="00835BBA"/>
    <w:rsid w:val="0086249A"/>
    <w:rsid w:val="00864EC2"/>
    <w:rsid w:val="0086619D"/>
    <w:rsid w:val="00867AD2"/>
    <w:rsid w:val="00875ADF"/>
    <w:rsid w:val="0089680E"/>
    <w:rsid w:val="008A3E5A"/>
    <w:rsid w:val="008B01D0"/>
    <w:rsid w:val="008B4800"/>
    <w:rsid w:val="008D79AC"/>
    <w:rsid w:val="008F597D"/>
    <w:rsid w:val="008F6381"/>
    <w:rsid w:val="00906683"/>
    <w:rsid w:val="0091525E"/>
    <w:rsid w:val="00923E48"/>
    <w:rsid w:val="0092585D"/>
    <w:rsid w:val="00936424"/>
    <w:rsid w:val="00946578"/>
    <w:rsid w:val="00971168"/>
    <w:rsid w:val="009819E8"/>
    <w:rsid w:val="00992921"/>
    <w:rsid w:val="009C0E98"/>
    <w:rsid w:val="009C77E0"/>
    <w:rsid w:val="009F0E6B"/>
    <w:rsid w:val="009F3995"/>
    <w:rsid w:val="00A22DFF"/>
    <w:rsid w:val="00A26EC5"/>
    <w:rsid w:val="00A41816"/>
    <w:rsid w:val="00A44B7A"/>
    <w:rsid w:val="00A5269F"/>
    <w:rsid w:val="00A629B1"/>
    <w:rsid w:val="00A76793"/>
    <w:rsid w:val="00A77B4C"/>
    <w:rsid w:val="00A82641"/>
    <w:rsid w:val="00A84A53"/>
    <w:rsid w:val="00A87883"/>
    <w:rsid w:val="00A97DE9"/>
    <w:rsid w:val="00AA5CE1"/>
    <w:rsid w:val="00AB0168"/>
    <w:rsid w:val="00AB3954"/>
    <w:rsid w:val="00AB3C9C"/>
    <w:rsid w:val="00AD411C"/>
    <w:rsid w:val="00AE2BC1"/>
    <w:rsid w:val="00AE730C"/>
    <w:rsid w:val="00AF077C"/>
    <w:rsid w:val="00B04BDA"/>
    <w:rsid w:val="00B0618D"/>
    <w:rsid w:val="00B3335C"/>
    <w:rsid w:val="00B36A17"/>
    <w:rsid w:val="00B5073B"/>
    <w:rsid w:val="00B5343D"/>
    <w:rsid w:val="00B71946"/>
    <w:rsid w:val="00B909A3"/>
    <w:rsid w:val="00B92BDB"/>
    <w:rsid w:val="00B94560"/>
    <w:rsid w:val="00B96A66"/>
    <w:rsid w:val="00BA494E"/>
    <w:rsid w:val="00BB085E"/>
    <w:rsid w:val="00BB454B"/>
    <w:rsid w:val="00BC220E"/>
    <w:rsid w:val="00BC4A00"/>
    <w:rsid w:val="00BF65C5"/>
    <w:rsid w:val="00C0772C"/>
    <w:rsid w:val="00C10A10"/>
    <w:rsid w:val="00C13A94"/>
    <w:rsid w:val="00C13CBD"/>
    <w:rsid w:val="00C16A2C"/>
    <w:rsid w:val="00C229DE"/>
    <w:rsid w:val="00C32EC9"/>
    <w:rsid w:val="00C336B8"/>
    <w:rsid w:val="00C34058"/>
    <w:rsid w:val="00C44641"/>
    <w:rsid w:val="00C51002"/>
    <w:rsid w:val="00C53430"/>
    <w:rsid w:val="00C534DA"/>
    <w:rsid w:val="00C65077"/>
    <w:rsid w:val="00C661B9"/>
    <w:rsid w:val="00C727AD"/>
    <w:rsid w:val="00C82D48"/>
    <w:rsid w:val="00C84B0C"/>
    <w:rsid w:val="00C91A74"/>
    <w:rsid w:val="00CA13A6"/>
    <w:rsid w:val="00CB1906"/>
    <w:rsid w:val="00CB51E5"/>
    <w:rsid w:val="00CB55F7"/>
    <w:rsid w:val="00CB57CC"/>
    <w:rsid w:val="00CD58CA"/>
    <w:rsid w:val="00CF100B"/>
    <w:rsid w:val="00D04116"/>
    <w:rsid w:val="00D152CC"/>
    <w:rsid w:val="00D2044A"/>
    <w:rsid w:val="00D20A1B"/>
    <w:rsid w:val="00D20B72"/>
    <w:rsid w:val="00D22EDB"/>
    <w:rsid w:val="00D475A7"/>
    <w:rsid w:val="00D56A17"/>
    <w:rsid w:val="00D67BD2"/>
    <w:rsid w:val="00D7317E"/>
    <w:rsid w:val="00D821D0"/>
    <w:rsid w:val="00D82C7B"/>
    <w:rsid w:val="00D860F0"/>
    <w:rsid w:val="00D91125"/>
    <w:rsid w:val="00DA65F0"/>
    <w:rsid w:val="00DB1C10"/>
    <w:rsid w:val="00DC2309"/>
    <w:rsid w:val="00DC7163"/>
    <w:rsid w:val="00DD0C94"/>
    <w:rsid w:val="00DE0E31"/>
    <w:rsid w:val="00DE481E"/>
    <w:rsid w:val="00E14E5C"/>
    <w:rsid w:val="00E16AD5"/>
    <w:rsid w:val="00E37EA0"/>
    <w:rsid w:val="00E50A42"/>
    <w:rsid w:val="00E6182A"/>
    <w:rsid w:val="00E80D5D"/>
    <w:rsid w:val="00E91B18"/>
    <w:rsid w:val="00E92A3A"/>
    <w:rsid w:val="00E94A42"/>
    <w:rsid w:val="00EA2CDE"/>
    <w:rsid w:val="00EA4455"/>
    <w:rsid w:val="00EA530D"/>
    <w:rsid w:val="00EB0B0C"/>
    <w:rsid w:val="00EB14F1"/>
    <w:rsid w:val="00ED5C36"/>
    <w:rsid w:val="00ED6116"/>
    <w:rsid w:val="00ED6627"/>
    <w:rsid w:val="00ED6EB2"/>
    <w:rsid w:val="00EE0C71"/>
    <w:rsid w:val="00EE2905"/>
    <w:rsid w:val="00EE3962"/>
    <w:rsid w:val="00EE7FFE"/>
    <w:rsid w:val="00EF61A5"/>
    <w:rsid w:val="00F069CA"/>
    <w:rsid w:val="00F0700A"/>
    <w:rsid w:val="00F156B1"/>
    <w:rsid w:val="00F167A3"/>
    <w:rsid w:val="00F32B1D"/>
    <w:rsid w:val="00F3672F"/>
    <w:rsid w:val="00F55FD2"/>
    <w:rsid w:val="00F60D0D"/>
    <w:rsid w:val="00F720EC"/>
    <w:rsid w:val="00FA24F9"/>
    <w:rsid w:val="00FA6A39"/>
    <w:rsid w:val="00FA7177"/>
    <w:rsid w:val="00FB723E"/>
    <w:rsid w:val="00FC5C6C"/>
    <w:rsid w:val="00FD0950"/>
    <w:rsid w:val="00FE2C55"/>
    <w:rsid w:val="00FE3509"/>
    <w:rsid w:val="00FF1E86"/>
    <w:rsid w:val="027D73F4"/>
    <w:rsid w:val="05760391"/>
    <w:rsid w:val="06006D63"/>
    <w:rsid w:val="09F04CE7"/>
    <w:rsid w:val="0FC47365"/>
    <w:rsid w:val="0FCD2DB1"/>
    <w:rsid w:val="13C679ED"/>
    <w:rsid w:val="1911773D"/>
    <w:rsid w:val="25F72959"/>
    <w:rsid w:val="273F10BD"/>
    <w:rsid w:val="2F6A278C"/>
    <w:rsid w:val="2FCC59E1"/>
    <w:rsid w:val="37C24660"/>
    <w:rsid w:val="3CF24E44"/>
    <w:rsid w:val="4FF11EBF"/>
    <w:rsid w:val="50AA44B0"/>
    <w:rsid w:val="61DB3FE5"/>
    <w:rsid w:val="632F715F"/>
    <w:rsid w:val="64640169"/>
    <w:rsid w:val="6D0F1ACD"/>
    <w:rsid w:val="74421A39"/>
    <w:rsid w:val="75D0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99"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unhideWhenUsed/>
    <w:qFormat/>
    <w:rPr>
      <w:b/>
      <w:bCs/>
    </w:rPr>
  </w:style>
  <w:style w:type="character" w:styleId="aa">
    <w:name w:val="Hyperlink"/>
    <w:basedOn w:val="a0"/>
    <w:uiPriority w:val="99"/>
    <w:unhideWhenUsed/>
    <w:qFormat/>
    <w:rPr>
      <w:color w:val="0563C1"/>
      <w:u w:val="single"/>
    </w:rPr>
  </w:style>
  <w:style w:type="character" w:styleId="ab">
    <w:name w:val="annotation reference"/>
    <w:basedOn w:val="a0"/>
    <w:uiPriority w:val="99"/>
    <w:unhideWhenUsed/>
    <w:qFormat/>
    <w:rPr>
      <w:sz w:val="21"/>
      <w:szCs w:val="21"/>
    </w:rPr>
  </w:style>
  <w:style w:type="paragraph" w:customStyle="1" w:styleId="Pa2">
    <w:name w:val="Pa2"/>
    <w:basedOn w:val="a"/>
    <w:next w:val="a"/>
    <w:uiPriority w:val="99"/>
    <w:unhideWhenUsed/>
    <w:qFormat/>
    <w:pPr>
      <w:autoSpaceDE w:val="0"/>
      <w:autoSpaceDN w:val="0"/>
      <w:adjustRightInd w:val="0"/>
      <w:spacing w:line="241" w:lineRule="atLeast"/>
      <w:jc w:val="left"/>
    </w:pPr>
    <w:rPr>
      <w:rFonts w:ascii="黑体" w:eastAsia="黑体" w:hAnsi="黑体" w:cs="Times New Roman"/>
      <w:color w:val="000000"/>
      <w:kern w:val="0"/>
      <w:sz w:val="24"/>
      <w:szCs w:val="20"/>
    </w:rPr>
  </w:style>
  <w:style w:type="paragraph" w:customStyle="1" w:styleId="ac">
    <w:name w:val="[基本段落]"/>
    <w:basedOn w:val="a"/>
    <w:uiPriority w:val="99"/>
    <w:qFormat/>
    <w:pPr>
      <w:autoSpaceDE w:val="0"/>
      <w:autoSpaceDN w:val="0"/>
      <w:adjustRightInd w:val="0"/>
      <w:spacing w:line="288" w:lineRule="auto"/>
      <w:textAlignment w:val="center"/>
    </w:pPr>
    <w:rPr>
      <w:rFonts w:ascii="宋体" w:cs="宋体"/>
      <w:color w:val="000000"/>
      <w:kern w:val="0"/>
      <w:sz w:val="24"/>
      <w:szCs w:val="24"/>
      <w:lang w:val="zh-CN"/>
    </w:rPr>
  </w:style>
  <w:style w:type="character" w:customStyle="1" w:styleId="A00">
    <w:name w:val="A0"/>
    <w:uiPriority w:val="99"/>
    <w:unhideWhenUsed/>
    <w:qFormat/>
    <w:rPr>
      <w:rFonts w:hint="eastAsia"/>
      <w:sz w:val="30"/>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0">
    <w:name w:val="纯文本 Char"/>
    <w:basedOn w:val="a0"/>
    <w:link w:val="a4"/>
    <w:qFormat/>
    <w:rPr>
      <w:rFonts w:ascii="宋体" w:eastAsia="宋体" w:hAnsi="Courier New" w:cs="Courier New"/>
      <w:szCs w:val="21"/>
    </w:rPr>
  </w:style>
  <w:style w:type="character" w:customStyle="1" w:styleId="Char1">
    <w:name w:val="日期 Char"/>
    <w:basedOn w:val="a0"/>
    <w:link w:val="a5"/>
    <w:uiPriority w:val="99"/>
    <w:semiHidden/>
    <w:qFormat/>
  </w:style>
  <w:style w:type="character" w:customStyle="1" w:styleId="Char2">
    <w:name w:val="批注框文本 Char"/>
    <w:basedOn w:val="a0"/>
    <w:link w:val="a6"/>
    <w:uiPriority w:val="99"/>
    <w:semiHidden/>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5">
    <w:name w:val="批注主题 Char"/>
    <w:basedOn w:val="Char"/>
    <w:link w:val="a9"/>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99"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unhideWhenUsed/>
    <w:qFormat/>
    <w:rPr>
      <w:b/>
      <w:bCs/>
    </w:rPr>
  </w:style>
  <w:style w:type="character" w:styleId="aa">
    <w:name w:val="Hyperlink"/>
    <w:basedOn w:val="a0"/>
    <w:uiPriority w:val="99"/>
    <w:unhideWhenUsed/>
    <w:qFormat/>
    <w:rPr>
      <w:color w:val="0563C1"/>
      <w:u w:val="single"/>
    </w:rPr>
  </w:style>
  <w:style w:type="character" w:styleId="ab">
    <w:name w:val="annotation reference"/>
    <w:basedOn w:val="a0"/>
    <w:uiPriority w:val="99"/>
    <w:unhideWhenUsed/>
    <w:qFormat/>
    <w:rPr>
      <w:sz w:val="21"/>
      <w:szCs w:val="21"/>
    </w:rPr>
  </w:style>
  <w:style w:type="paragraph" w:customStyle="1" w:styleId="Pa2">
    <w:name w:val="Pa2"/>
    <w:basedOn w:val="a"/>
    <w:next w:val="a"/>
    <w:uiPriority w:val="99"/>
    <w:unhideWhenUsed/>
    <w:qFormat/>
    <w:pPr>
      <w:autoSpaceDE w:val="0"/>
      <w:autoSpaceDN w:val="0"/>
      <w:adjustRightInd w:val="0"/>
      <w:spacing w:line="241" w:lineRule="atLeast"/>
      <w:jc w:val="left"/>
    </w:pPr>
    <w:rPr>
      <w:rFonts w:ascii="黑体" w:eastAsia="黑体" w:hAnsi="黑体" w:cs="Times New Roman"/>
      <w:color w:val="000000"/>
      <w:kern w:val="0"/>
      <w:sz w:val="24"/>
      <w:szCs w:val="20"/>
    </w:rPr>
  </w:style>
  <w:style w:type="paragraph" w:customStyle="1" w:styleId="ac">
    <w:name w:val="[基本段落]"/>
    <w:basedOn w:val="a"/>
    <w:uiPriority w:val="99"/>
    <w:qFormat/>
    <w:pPr>
      <w:autoSpaceDE w:val="0"/>
      <w:autoSpaceDN w:val="0"/>
      <w:adjustRightInd w:val="0"/>
      <w:spacing w:line="288" w:lineRule="auto"/>
      <w:textAlignment w:val="center"/>
    </w:pPr>
    <w:rPr>
      <w:rFonts w:ascii="宋体" w:cs="宋体"/>
      <w:color w:val="000000"/>
      <w:kern w:val="0"/>
      <w:sz w:val="24"/>
      <w:szCs w:val="24"/>
      <w:lang w:val="zh-CN"/>
    </w:rPr>
  </w:style>
  <w:style w:type="character" w:customStyle="1" w:styleId="A00">
    <w:name w:val="A0"/>
    <w:uiPriority w:val="99"/>
    <w:unhideWhenUsed/>
    <w:qFormat/>
    <w:rPr>
      <w:rFonts w:hint="eastAsia"/>
      <w:sz w:val="30"/>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0">
    <w:name w:val="纯文本 Char"/>
    <w:basedOn w:val="a0"/>
    <w:link w:val="a4"/>
    <w:qFormat/>
    <w:rPr>
      <w:rFonts w:ascii="宋体" w:eastAsia="宋体" w:hAnsi="Courier New" w:cs="Courier New"/>
      <w:szCs w:val="21"/>
    </w:rPr>
  </w:style>
  <w:style w:type="character" w:customStyle="1" w:styleId="Char1">
    <w:name w:val="日期 Char"/>
    <w:basedOn w:val="a0"/>
    <w:link w:val="a5"/>
    <w:uiPriority w:val="99"/>
    <w:semiHidden/>
    <w:qFormat/>
  </w:style>
  <w:style w:type="character" w:customStyle="1" w:styleId="Char2">
    <w:name w:val="批注框文本 Char"/>
    <w:basedOn w:val="a0"/>
    <w:link w:val="a6"/>
    <w:uiPriority w:val="99"/>
    <w:semiHidden/>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5">
    <w:name w:val="批注主题 Char"/>
    <w:basedOn w:val="Char"/>
    <w:link w:val="a9"/>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730</Words>
  <Characters>4162</Characters>
  <Application>Microsoft Office Word</Application>
  <DocSecurity>0</DocSecurity>
  <Lines>34</Lines>
  <Paragraphs>9</Paragraphs>
  <ScaleCrop>false</ScaleCrop>
  <Company>P R C</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北京市总工会  北京市应急管理局</dc:title>
  <dc:creator>谢允红</dc:creator>
  <cp:lastModifiedBy>Administrator</cp:lastModifiedBy>
  <cp:revision>3</cp:revision>
  <cp:lastPrinted>2022-06-02T06:34:00Z</cp:lastPrinted>
  <dcterms:created xsi:type="dcterms:W3CDTF">2022-06-07T09:11:00Z</dcterms:created>
  <dcterms:modified xsi:type="dcterms:W3CDTF">2022-06-07T09:12:00Z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AEDBBFEA9E2E4315A03B68AAB1947FED</vt:lpwstr>
  </property>
</Properties>
</file>